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828"/>
      </w:tblGrid>
      <w:tr w:rsidR="00917255" w:rsidRPr="00917255" w:rsidTr="00855E0C">
        <w:tc>
          <w:tcPr>
            <w:tcW w:w="5529" w:type="dxa"/>
          </w:tcPr>
          <w:p w:rsidR="00917255" w:rsidRPr="00917255" w:rsidRDefault="00917255" w:rsidP="00A44288">
            <w:pPr>
              <w:pStyle w:val="Textkrper2"/>
              <w:framePr w:w="0" w:hSpace="0" w:wrap="auto" w:vAnchor="margin" w:hAnchor="text" w:xAlign="left" w:yAlign="inline"/>
              <w:spacing w:after="0"/>
              <w:rPr>
                <w:rFonts w:ascii="Open Sans" w:hAnsi="Open Sans" w:cs="Open Sans"/>
                <w:color w:val="000000"/>
                <w:sz w:val="18"/>
                <w:szCs w:val="18"/>
                <w:lang w:val="de-AT"/>
              </w:rPr>
            </w:pPr>
          </w:p>
        </w:tc>
        <w:tc>
          <w:tcPr>
            <w:tcW w:w="3828" w:type="dxa"/>
          </w:tcPr>
          <w:p w:rsidR="00917255" w:rsidRPr="00917255" w:rsidRDefault="00917255" w:rsidP="00855E0C">
            <w:pPr>
              <w:pStyle w:val="Textkrper2"/>
              <w:framePr w:w="0" w:hSpace="0" w:wrap="auto" w:vAnchor="margin" w:hAnchor="text" w:xAlign="left" w:yAlign="inline"/>
              <w:spacing w:after="0"/>
              <w:ind w:left="31"/>
              <w:rPr>
                <w:rFonts w:ascii="Open Sans" w:hAnsi="Open Sans" w:cs="Open Sans"/>
                <w:color w:val="000000"/>
                <w:sz w:val="16"/>
                <w:szCs w:val="18"/>
                <w:lang w:val="de-AT"/>
              </w:rPr>
            </w:pPr>
            <w:r w:rsidRPr="00807D5E">
              <w:rPr>
                <w:rFonts w:ascii="Open Sans" w:hAnsi="Open Sans" w:cs="Open Sans"/>
                <w:color w:val="000000"/>
                <w:sz w:val="18"/>
                <w:szCs w:val="18"/>
                <w:lang w:val="de-AT"/>
              </w:rPr>
              <w:t>Österreichischer Verband Creditreform</w:t>
            </w:r>
            <w:r w:rsidRPr="00807D5E">
              <w:rPr>
                <w:rFonts w:ascii="Open Sans" w:hAnsi="Open Sans" w:cs="Open Sans"/>
                <w:color w:val="000000"/>
                <w:sz w:val="18"/>
                <w:szCs w:val="18"/>
                <w:lang w:val="de-AT"/>
              </w:rPr>
              <w:br/>
            </w:r>
            <w:r w:rsidRPr="00807D5E">
              <w:rPr>
                <w:rFonts w:ascii="Open Sans" w:hAnsi="Open Sans" w:cs="Open Sans"/>
                <w:color w:val="000000"/>
                <w:spacing w:val="-4"/>
                <w:sz w:val="18"/>
                <w:szCs w:val="18"/>
                <w:lang w:val="de-AT"/>
              </w:rPr>
              <w:t>Bevorrechteter Gläubigerschutzverband</w:t>
            </w:r>
            <w:r w:rsidRPr="00807D5E">
              <w:rPr>
                <w:rFonts w:ascii="Open Sans" w:hAnsi="Open Sans" w:cs="Open Sans"/>
                <w:color w:val="000000"/>
                <w:sz w:val="18"/>
                <w:szCs w:val="18"/>
                <w:lang w:val="de-AT"/>
              </w:rPr>
              <w:t xml:space="preserve"> </w:t>
            </w:r>
          </w:p>
        </w:tc>
      </w:tr>
      <w:tr w:rsidR="00917255" w:rsidRPr="00917255" w:rsidTr="00855E0C">
        <w:tc>
          <w:tcPr>
            <w:tcW w:w="5529" w:type="dxa"/>
          </w:tcPr>
          <w:p w:rsidR="00917255" w:rsidRPr="00917255" w:rsidRDefault="00917255" w:rsidP="00A44288">
            <w:pPr>
              <w:rPr>
                <w:rFonts w:cs="Open Sans"/>
                <w:sz w:val="18"/>
                <w:szCs w:val="18"/>
                <w:lang w:val="de-AT"/>
              </w:rPr>
            </w:pPr>
          </w:p>
        </w:tc>
        <w:tc>
          <w:tcPr>
            <w:tcW w:w="3828" w:type="dxa"/>
          </w:tcPr>
          <w:p w:rsidR="00917255" w:rsidRPr="00917255" w:rsidRDefault="00274367" w:rsidP="00855E0C">
            <w:pPr>
              <w:ind w:left="31"/>
              <w:rPr>
                <w:rFonts w:cs="Open Sans"/>
                <w:sz w:val="16"/>
                <w:szCs w:val="16"/>
                <w:lang w:val="de-AT"/>
              </w:rPr>
            </w:pPr>
            <w:proofErr w:type="spellStart"/>
            <w:r>
              <w:rPr>
                <w:rFonts w:cs="Open Sans"/>
                <w:sz w:val="16"/>
                <w:szCs w:val="16"/>
                <w:lang w:val="de-AT"/>
              </w:rPr>
              <w:t>Nußdorfer</w:t>
            </w:r>
            <w:proofErr w:type="spellEnd"/>
            <w:r>
              <w:rPr>
                <w:rFonts w:cs="Open Sans"/>
                <w:sz w:val="16"/>
                <w:szCs w:val="16"/>
                <w:lang w:val="de-AT"/>
              </w:rPr>
              <w:t xml:space="preserve"> Lände 23</w:t>
            </w:r>
            <w:r w:rsidR="00917255" w:rsidRPr="00917255">
              <w:rPr>
                <w:rFonts w:cs="Open Sans"/>
                <w:sz w:val="16"/>
                <w:szCs w:val="16"/>
                <w:lang w:val="de-AT"/>
              </w:rPr>
              <w:t>, 1190 Wien</w:t>
            </w:r>
          </w:p>
        </w:tc>
      </w:tr>
      <w:tr w:rsidR="00917255" w:rsidRPr="00917255" w:rsidTr="00855E0C">
        <w:tc>
          <w:tcPr>
            <w:tcW w:w="5529" w:type="dxa"/>
          </w:tcPr>
          <w:p w:rsidR="00917255" w:rsidRPr="00917255" w:rsidRDefault="00917255" w:rsidP="00A44288">
            <w:pPr>
              <w:tabs>
                <w:tab w:val="left" w:pos="709"/>
              </w:tabs>
              <w:rPr>
                <w:rFonts w:cs="Open Sans"/>
                <w:color w:val="000000"/>
                <w:sz w:val="18"/>
                <w:szCs w:val="18"/>
              </w:rPr>
            </w:pPr>
          </w:p>
        </w:tc>
        <w:tc>
          <w:tcPr>
            <w:tcW w:w="3828" w:type="dxa"/>
          </w:tcPr>
          <w:p w:rsidR="00917255" w:rsidRPr="00917255" w:rsidRDefault="00917255" w:rsidP="00855E0C">
            <w:pPr>
              <w:tabs>
                <w:tab w:val="left" w:pos="709"/>
              </w:tabs>
              <w:ind w:left="31"/>
              <w:rPr>
                <w:rFonts w:cs="Open Sans"/>
                <w:sz w:val="16"/>
                <w:szCs w:val="16"/>
                <w:lang w:val="de-AT"/>
              </w:rPr>
            </w:pPr>
            <w:r w:rsidRPr="00917255">
              <w:rPr>
                <w:rFonts w:cs="Open Sans"/>
                <w:color w:val="000000"/>
                <w:sz w:val="16"/>
                <w:szCs w:val="16"/>
              </w:rPr>
              <w:t>ZVR: 676112673</w:t>
            </w:r>
          </w:p>
        </w:tc>
      </w:tr>
      <w:tr w:rsidR="00917255" w:rsidRPr="00917255" w:rsidTr="00855E0C">
        <w:tc>
          <w:tcPr>
            <w:tcW w:w="5529" w:type="dxa"/>
          </w:tcPr>
          <w:p w:rsidR="00917255" w:rsidRPr="00917255" w:rsidRDefault="00917255" w:rsidP="00A44288">
            <w:pPr>
              <w:tabs>
                <w:tab w:val="left" w:pos="709"/>
              </w:tabs>
              <w:rPr>
                <w:rFonts w:cs="Open Sans"/>
                <w:sz w:val="18"/>
                <w:szCs w:val="18"/>
                <w:lang w:val="de-AT"/>
              </w:rPr>
            </w:pPr>
          </w:p>
        </w:tc>
        <w:tc>
          <w:tcPr>
            <w:tcW w:w="3828" w:type="dxa"/>
          </w:tcPr>
          <w:p w:rsidR="00917255" w:rsidRPr="00917255" w:rsidRDefault="00917255" w:rsidP="00855E0C">
            <w:pPr>
              <w:tabs>
                <w:tab w:val="left" w:pos="709"/>
              </w:tabs>
              <w:ind w:left="31"/>
              <w:rPr>
                <w:rFonts w:cs="Open Sans"/>
                <w:sz w:val="16"/>
                <w:szCs w:val="16"/>
                <w:lang w:val="de-AT"/>
              </w:rPr>
            </w:pPr>
            <w:r w:rsidRPr="00917255">
              <w:rPr>
                <w:rFonts w:cs="Open Sans"/>
                <w:sz w:val="16"/>
                <w:szCs w:val="16"/>
                <w:lang w:val="de-AT"/>
              </w:rPr>
              <w:t>Telefon</w:t>
            </w:r>
            <w:r w:rsidRPr="00917255">
              <w:rPr>
                <w:rFonts w:cs="Open Sans"/>
                <w:sz w:val="16"/>
                <w:szCs w:val="16"/>
                <w:lang w:val="de-AT"/>
              </w:rPr>
              <w:tab/>
              <w:t>+43 1 218 62 20-551</w:t>
            </w:r>
          </w:p>
        </w:tc>
      </w:tr>
      <w:tr w:rsidR="00917255" w:rsidRPr="00917255" w:rsidTr="00855E0C">
        <w:tc>
          <w:tcPr>
            <w:tcW w:w="5529" w:type="dxa"/>
          </w:tcPr>
          <w:p w:rsidR="00917255" w:rsidRPr="00917255" w:rsidRDefault="00917255" w:rsidP="00A44288">
            <w:pPr>
              <w:tabs>
                <w:tab w:val="left" w:pos="709"/>
              </w:tabs>
              <w:rPr>
                <w:rFonts w:cs="Open Sans"/>
                <w:sz w:val="18"/>
                <w:szCs w:val="18"/>
                <w:lang w:val="de-AT"/>
              </w:rPr>
            </w:pPr>
          </w:p>
        </w:tc>
        <w:tc>
          <w:tcPr>
            <w:tcW w:w="3828" w:type="dxa"/>
          </w:tcPr>
          <w:p w:rsidR="00917255" w:rsidRPr="00917255" w:rsidRDefault="0028285C" w:rsidP="00855E0C">
            <w:pPr>
              <w:tabs>
                <w:tab w:val="left" w:pos="709"/>
              </w:tabs>
              <w:ind w:left="31"/>
              <w:rPr>
                <w:rFonts w:cs="Open Sans"/>
                <w:sz w:val="16"/>
                <w:szCs w:val="16"/>
                <w:lang w:val="de-AT"/>
              </w:rPr>
            </w:pPr>
            <w:r w:rsidRPr="00917255">
              <w:rPr>
                <w:rFonts w:cs="Open Sans"/>
                <w:sz w:val="16"/>
                <w:szCs w:val="16"/>
                <w:lang w:val="de-AT"/>
              </w:rPr>
              <w:t xml:space="preserve">Mobil </w:t>
            </w:r>
            <w:r w:rsidRPr="00917255">
              <w:rPr>
                <w:rFonts w:cs="Open Sans"/>
                <w:sz w:val="16"/>
                <w:szCs w:val="16"/>
                <w:lang w:val="de-AT"/>
              </w:rPr>
              <w:tab/>
              <w:t>+</w:t>
            </w:r>
            <w:bookmarkStart w:id="0" w:name="_Hlt99416363"/>
            <w:r w:rsidRPr="00917255">
              <w:rPr>
                <w:rFonts w:cs="Open Sans"/>
                <w:sz w:val="16"/>
                <w:szCs w:val="16"/>
                <w:lang w:val="de-AT"/>
              </w:rPr>
              <w:t>4</w:t>
            </w:r>
            <w:bookmarkEnd w:id="0"/>
            <w:r w:rsidRPr="00917255">
              <w:rPr>
                <w:rFonts w:cs="Open Sans"/>
                <w:sz w:val="16"/>
                <w:szCs w:val="16"/>
                <w:lang w:val="de-AT"/>
              </w:rPr>
              <w:t>3 676 832 18 290</w:t>
            </w:r>
          </w:p>
        </w:tc>
      </w:tr>
      <w:tr w:rsidR="00917255" w:rsidRPr="00917255" w:rsidTr="00855E0C">
        <w:tc>
          <w:tcPr>
            <w:tcW w:w="5529" w:type="dxa"/>
          </w:tcPr>
          <w:p w:rsidR="00917255" w:rsidRPr="00917255" w:rsidRDefault="00917255" w:rsidP="00A44288">
            <w:pPr>
              <w:tabs>
                <w:tab w:val="left" w:pos="709"/>
              </w:tabs>
              <w:rPr>
                <w:rFonts w:cs="Open Sans"/>
                <w:sz w:val="18"/>
                <w:szCs w:val="18"/>
                <w:lang w:val="de-AT"/>
              </w:rPr>
            </w:pPr>
          </w:p>
        </w:tc>
        <w:tc>
          <w:tcPr>
            <w:tcW w:w="3828" w:type="dxa"/>
          </w:tcPr>
          <w:p w:rsidR="00917255" w:rsidRPr="00917255" w:rsidRDefault="0028285C" w:rsidP="00855E0C">
            <w:pPr>
              <w:tabs>
                <w:tab w:val="left" w:pos="709"/>
              </w:tabs>
              <w:ind w:left="31"/>
              <w:rPr>
                <w:rFonts w:cs="Open Sans"/>
                <w:sz w:val="16"/>
                <w:szCs w:val="16"/>
                <w:lang w:val="de-AT"/>
              </w:rPr>
            </w:pPr>
            <w:r w:rsidRPr="00917255">
              <w:rPr>
                <w:rFonts w:cs="Open Sans"/>
                <w:sz w:val="16"/>
                <w:szCs w:val="16"/>
                <w:lang w:val="de-AT"/>
              </w:rPr>
              <w:t>g.weinhofer@wien.creditreform.at</w:t>
            </w:r>
          </w:p>
        </w:tc>
      </w:tr>
      <w:tr w:rsidR="00917255" w:rsidRPr="00917255" w:rsidTr="00855E0C">
        <w:tc>
          <w:tcPr>
            <w:tcW w:w="5529" w:type="dxa"/>
          </w:tcPr>
          <w:p w:rsidR="00917255" w:rsidRPr="00917255" w:rsidRDefault="00917255" w:rsidP="00A44288">
            <w:pPr>
              <w:tabs>
                <w:tab w:val="left" w:pos="851"/>
              </w:tabs>
              <w:rPr>
                <w:rFonts w:cs="Open Sans"/>
                <w:sz w:val="18"/>
                <w:szCs w:val="18"/>
                <w:lang w:val="de-AT"/>
              </w:rPr>
            </w:pPr>
          </w:p>
        </w:tc>
        <w:tc>
          <w:tcPr>
            <w:tcW w:w="3828" w:type="dxa"/>
          </w:tcPr>
          <w:p w:rsidR="00917255" w:rsidRPr="00917255" w:rsidRDefault="0028285C" w:rsidP="00855E0C">
            <w:pPr>
              <w:tabs>
                <w:tab w:val="left" w:pos="851"/>
              </w:tabs>
              <w:ind w:left="31"/>
              <w:rPr>
                <w:rFonts w:cs="Open Sans"/>
                <w:sz w:val="16"/>
                <w:szCs w:val="16"/>
                <w:lang w:val="de-AT"/>
              </w:rPr>
            </w:pPr>
            <w:r w:rsidRPr="00917255">
              <w:rPr>
                <w:rFonts w:cs="Open Sans"/>
                <w:color w:val="000000"/>
                <w:sz w:val="16"/>
                <w:szCs w:val="16"/>
                <w:lang w:val="de-AT"/>
              </w:rPr>
              <w:t>www.creditreform.at</w:t>
            </w:r>
          </w:p>
        </w:tc>
      </w:tr>
      <w:tr w:rsidR="00917255" w:rsidRPr="00917255" w:rsidTr="00855E0C">
        <w:tc>
          <w:tcPr>
            <w:tcW w:w="5529" w:type="dxa"/>
          </w:tcPr>
          <w:p w:rsidR="00917255" w:rsidRPr="00917255" w:rsidRDefault="00917255" w:rsidP="00A44288">
            <w:pPr>
              <w:tabs>
                <w:tab w:val="left" w:pos="851"/>
              </w:tabs>
              <w:rPr>
                <w:rFonts w:cs="Open Sans"/>
                <w:color w:val="000000"/>
                <w:sz w:val="18"/>
                <w:szCs w:val="18"/>
                <w:lang w:val="de-AT"/>
              </w:rPr>
            </w:pPr>
          </w:p>
        </w:tc>
        <w:tc>
          <w:tcPr>
            <w:tcW w:w="3828" w:type="dxa"/>
          </w:tcPr>
          <w:p w:rsidR="00917255" w:rsidRPr="00917255" w:rsidRDefault="00917255" w:rsidP="00855E0C">
            <w:pPr>
              <w:tabs>
                <w:tab w:val="left" w:pos="851"/>
              </w:tabs>
              <w:ind w:left="31"/>
              <w:rPr>
                <w:rFonts w:cs="Open Sans"/>
                <w:color w:val="000000"/>
                <w:sz w:val="16"/>
                <w:szCs w:val="16"/>
                <w:lang w:val="de-AT"/>
              </w:rPr>
            </w:pPr>
          </w:p>
        </w:tc>
      </w:tr>
    </w:tbl>
    <w:p w:rsidR="00917255" w:rsidRPr="004B3E51" w:rsidRDefault="00B5255A" w:rsidP="00917255">
      <w:pPr>
        <w:jc w:val="right"/>
        <w:rPr>
          <w:rFonts w:cs="Open Sans"/>
          <w:lang w:val="de-AT"/>
        </w:rPr>
      </w:pPr>
      <w:r>
        <w:rPr>
          <w:rFonts w:cs="Open Sans"/>
          <w:lang w:val="de-AT"/>
        </w:rPr>
        <w:t xml:space="preserve">Wien, </w:t>
      </w:r>
      <w:r w:rsidR="0044304A">
        <w:rPr>
          <w:rFonts w:cs="Open Sans"/>
          <w:lang w:val="de-AT"/>
        </w:rPr>
        <w:t>8</w:t>
      </w:r>
      <w:r w:rsidR="0028285C">
        <w:rPr>
          <w:rFonts w:cs="Open Sans"/>
          <w:lang w:val="de-AT"/>
        </w:rPr>
        <w:t xml:space="preserve">. </w:t>
      </w:r>
      <w:r w:rsidR="0044304A">
        <w:rPr>
          <w:rFonts w:cs="Open Sans"/>
          <w:lang w:val="de-AT"/>
        </w:rPr>
        <w:t>November</w:t>
      </w:r>
      <w:r w:rsidR="00B85604">
        <w:rPr>
          <w:rFonts w:cs="Open Sans"/>
          <w:lang w:val="de-AT"/>
        </w:rPr>
        <w:t xml:space="preserve"> </w:t>
      </w:r>
      <w:r w:rsidR="00917255" w:rsidRPr="004B3E51">
        <w:rPr>
          <w:rFonts w:cs="Open Sans"/>
          <w:lang w:val="de-AT"/>
        </w:rPr>
        <w:t>20</w:t>
      </w:r>
      <w:r>
        <w:rPr>
          <w:rFonts w:cs="Open Sans"/>
          <w:lang w:val="de-AT"/>
        </w:rPr>
        <w:t>2</w:t>
      </w:r>
      <w:r w:rsidR="00C0376C">
        <w:rPr>
          <w:rFonts w:cs="Open Sans"/>
          <w:lang w:val="de-AT"/>
        </w:rPr>
        <w:t>3</w:t>
      </w:r>
    </w:p>
    <w:p w:rsidR="004B3E51" w:rsidRDefault="004B3E51" w:rsidP="00917255">
      <w:pPr>
        <w:rPr>
          <w:lang w:val="de-AT"/>
        </w:rPr>
      </w:pPr>
    </w:p>
    <w:p w:rsidR="00B94644" w:rsidRPr="00824026" w:rsidRDefault="00B94644" w:rsidP="00DE31E2">
      <w:pPr>
        <w:pStyle w:val="Titel"/>
      </w:pPr>
      <w:r w:rsidRPr="00824026">
        <w:t xml:space="preserve">Creditreform </w:t>
      </w:r>
      <w:r w:rsidR="001A7C70">
        <w:t>PRIVAT</w:t>
      </w:r>
      <w:r w:rsidR="009531F1" w:rsidRPr="009531F1">
        <w:t>INSOLVENZSTATISTIK</w:t>
      </w:r>
      <w:r w:rsidR="003504CD" w:rsidRPr="009531F1">
        <w:t xml:space="preserve"> </w:t>
      </w:r>
      <w:r w:rsidR="0013076B">
        <w:t xml:space="preserve">1. </w:t>
      </w:r>
      <w:r w:rsidR="0044304A">
        <w:t>bis 3. Quartal</w:t>
      </w:r>
      <w:r w:rsidR="0013076B">
        <w:t xml:space="preserve"> </w:t>
      </w:r>
      <w:r w:rsidR="003504CD" w:rsidRPr="00824026">
        <w:rPr>
          <w:bCs/>
          <w:lang w:val="de-AT"/>
        </w:rPr>
        <w:t>20</w:t>
      </w:r>
      <w:r w:rsidR="00B5255A">
        <w:rPr>
          <w:bCs/>
          <w:lang w:val="de-AT"/>
        </w:rPr>
        <w:t>2</w:t>
      </w:r>
      <w:r w:rsidR="00C0376C">
        <w:rPr>
          <w:bCs/>
          <w:lang w:val="de-AT"/>
        </w:rPr>
        <w:t>3</w:t>
      </w:r>
      <w:r w:rsidRPr="00824026">
        <w:rPr>
          <w:bCs/>
          <w:lang w:val="de-AT"/>
        </w:rPr>
        <w:t>:</w:t>
      </w:r>
    </w:p>
    <w:p w:rsidR="00B94644" w:rsidRPr="00824026" w:rsidRDefault="001A7C70" w:rsidP="00807D5E">
      <w:pPr>
        <w:pStyle w:val="Titel"/>
      </w:pPr>
      <w:r>
        <w:t>39</w:t>
      </w:r>
      <w:r w:rsidR="00B94644" w:rsidRPr="00824026">
        <w:t xml:space="preserve"> Insolvenzverfahren pro Werktag</w:t>
      </w:r>
    </w:p>
    <w:p w:rsidR="001A7C70" w:rsidRPr="001A7C70" w:rsidRDefault="001A7C70" w:rsidP="001A7C70">
      <w:pPr>
        <w:rPr>
          <w:b/>
          <w:color w:val="00B0F0"/>
          <w:sz w:val="22"/>
          <w:szCs w:val="22"/>
        </w:rPr>
      </w:pPr>
      <w:r w:rsidRPr="001A7C70">
        <w:rPr>
          <w:b/>
          <w:color w:val="00B0F0"/>
          <w:sz w:val="22"/>
          <w:szCs w:val="22"/>
        </w:rPr>
        <w:t>Privatinsolvenzen steigen um 8,2%. Dennoch 900 Insolvenzen weniger als vor der Pandemie.</w:t>
      </w:r>
    </w:p>
    <w:p w:rsidR="001A7C70" w:rsidRPr="001A7C70" w:rsidRDefault="001A7C70" w:rsidP="001A7C70">
      <w:pPr>
        <w:rPr>
          <w:sz w:val="22"/>
          <w:szCs w:val="22"/>
        </w:rPr>
      </w:pPr>
      <w:r w:rsidRPr="001A7C70">
        <w:rPr>
          <w:sz w:val="22"/>
          <w:szCs w:val="22"/>
        </w:rPr>
        <w:t>Der Gläubigerschutzverband Creditreform hat die endgültigen Zahlen bei den Privatinsolvenzen für das 1. bis 3. Quartal 2023 in Österreich analysiert. Die Gesamtzahl der Privatinsolvenzen steigt um rund 8% auf knapp 7.300 Verfahren an. Das Vor-Pandemie-Niveau ist damit weiterhin nicht erreicht. Die Zahl der eröffneten Schuldenregulierungsverfahren erhöht sich um 7,4% auf 6.660, die mangels Vermögen abgewiesenen Insolvenzen um massive 16,8% auf 645 Verfahren. Damit bleibt in jedem 10. Fall der Schuldner unter dem Damoklesschwert Exekution und Pfändung bis aufs Existenzminimum, während die (</w:t>
      </w:r>
      <w:proofErr w:type="spellStart"/>
      <w:r w:rsidRPr="001A7C70">
        <w:rPr>
          <w:sz w:val="22"/>
          <w:szCs w:val="22"/>
        </w:rPr>
        <w:t>unbesicherten</w:t>
      </w:r>
      <w:proofErr w:type="spellEnd"/>
      <w:r w:rsidRPr="001A7C70">
        <w:rPr>
          <w:sz w:val="22"/>
          <w:szCs w:val="22"/>
        </w:rPr>
        <w:t xml:space="preserve">) Gläubiger ein Totalausfall ihrer Forderungen erleiden. </w:t>
      </w:r>
    </w:p>
    <w:p w:rsidR="001A7C70" w:rsidRDefault="001A7C70" w:rsidP="001A7C70">
      <w:pPr>
        <w:rPr>
          <w:sz w:val="22"/>
          <w:szCs w:val="22"/>
        </w:rPr>
      </w:pPr>
    </w:p>
    <w:p w:rsidR="001A7C70" w:rsidRPr="001A7C70" w:rsidRDefault="001A7C70" w:rsidP="001A7C70">
      <w:pPr>
        <w:rPr>
          <w:i/>
          <w:sz w:val="16"/>
          <w:szCs w:val="16"/>
        </w:rPr>
      </w:pPr>
      <w:r w:rsidRPr="001A7C70">
        <w:rPr>
          <w:i/>
          <w:sz w:val="16"/>
          <w:szCs w:val="16"/>
        </w:rPr>
        <w:t>Tab. 1: Privatinsolvenzen in Österreich, 1.-3. Quartal 2023</w:t>
      </w:r>
    </w:p>
    <w:tbl>
      <w:tblPr>
        <w:tblStyle w:val="Tabellenraster"/>
        <w:tblW w:w="9341" w:type="dxa"/>
        <w:jc w:val="center"/>
        <w:tblBorders>
          <w:top w:val="single" w:sz="12" w:space="0" w:color="009EE2"/>
          <w:left w:val="single" w:sz="12" w:space="0" w:color="009EE2"/>
          <w:bottom w:val="single" w:sz="12" w:space="0" w:color="009EE2"/>
          <w:right w:val="single" w:sz="12" w:space="0" w:color="009EE2"/>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4762"/>
        <w:gridCol w:w="1035"/>
        <w:gridCol w:w="992"/>
        <w:gridCol w:w="1276"/>
        <w:gridCol w:w="1276"/>
      </w:tblGrid>
      <w:tr w:rsidR="001A7C70" w:rsidRPr="00032AEB" w:rsidTr="001A7C70">
        <w:trPr>
          <w:trHeight w:val="572"/>
          <w:jc w:val="center"/>
        </w:trPr>
        <w:tc>
          <w:tcPr>
            <w:tcW w:w="4762" w:type="dxa"/>
            <w:shd w:val="clear" w:color="auto" w:fill="B2B2B2"/>
            <w:vAlign w:val="bottom"/>
          </w:tcPr>
          <w:p w:rsidR="001A7C70" w:rsidRPr="001A7C70" w:rsidRDefault="001A7C70" w:rsidP="00FA1525">
            <w:pPr>
              <w:rPr>
                <w:sz w:val="16"/>
                <w:szCs w:val="16"/>
              </w:rPr>
            </w:pPr>
            <w:r w:rsidRPr="001A7C70">
              <w:rPr>
                <w:sz w:val="16"/>
                <w:szCs w:val="16"/>
              </w:rPr>
              <w:t> </w:t>
            </w:r>
          </w:p>
        </w:tc>
        <w:tc>
          <w:tcPr>
            <w:tcW w:w="1035" w:type="dxa"/>
            <w:shd w:val="clear" w:color="auto" w:fill="B2B2B2"/>
            <w:vAlign w:val="center"/>
          </w:tcPr>
          <w:p w:rsidR="001A7C70" w:rsidRPr="001A7C70" w:rsidRDefault="001A7C70" w:rsidP="00FA1525">
            <w:pPr>
              <w:jc w:val="center"/>
              <w:rPr>
                <w:bCs/>
                <w:sz w:val="16"/>
                <w:szCs w:val="16"/>
              </w:rPr>
            </w:pPr>
            <w:r w:rsidRPr="001A7C70">
              <w:rPr>
                <w:bCs/>
                <w:sz w:val="16"/>
                <w:szCs w:val="16"/>
              </w:rPr>
              <w:t xml:space="preserve">1. </w:t>
            </w:r>
            <w:r w:rsidR="009A4F08">
              <w:rPr>
                <w:bCs/>
                <w:sz w:val="16"/>
                <w:szCs w:val="16"/>
              </w:rPr>
              <w:t xml:space="preserve">– 3. </w:t>
            </w:r>
            <w:r w:rsidRPr="001A7C70">
              <w:rPr>
                <w:bCs/>
                <w:sz w:val="16"/>
                <w:szCs w:val="16"/>
              </w:rPr>
              <w:t>Quartal 2023</w:t>
            </w:r>
          </w:p>
        </w:tc>
        <w:tc>
          <w:tcPr>
            <w:tcW w:w="992" w:type="dxa"/>
            <w:shd w:val="clear" w:color="auto" w:fill="B2B2B2"/>
            <w:vAlign w:val="center"/>
          </w:tcPr>
          <w:p w:rsidR="001A7C70" w:rsidRPr="001A7C70" w:rsidRDefault="001A7C70" w:rsidP="00FA1525">
            <w:pPr>
              <w:jc w:val="center"/>
              <w:rPr>
                <w:bCs/>
                <w:sz w:val="16"/>
                <w:szCs w:val="16"/>
              </w:rPr>
            </w:pPr>
            <w:r w:rsidRPr="001A7C70">
              <w:rPr>
                <w:bCs/>
                <w:sz w:val="16"/>
                <w:szCs w:val="16"/>
              </w:rPr>
              <w:t xml:space="preserve">1. </w:t>
            </w:r>
            <w:r w:rsidR="009A4F08">
              <w:rPr>
                <w:bCs/>
                <w:sz w:val="16"/>
                <w:szCs w:val="16"/>
              </w:rPr>
              <w:t xml:space="preserve">– 3. </w:t>
            </w:r>
            <w:r w:rsidRPr="001A7C70">
              <w:rPr>
                <w:bCs/>
                <w:sz w:val="16"/>
                <w:szCs w:val="16"/>
              </w:rPr>
              <w:t>Quartal 2022</w:t>
            </w:r>
          </w:p>
        </w:tc>
        <w:tc>
          <w:tcPr>
            <w:tcW w:w="1276" w:type="dxa"/>
            <w:shd w:val="clear" w:color="auto" w:fill="B2B2B2"/>
            <w:vAlign w:val="center"/>
          </w:tcPr>
          <w:p w:rsidR="001A7C70" w:rsidRPr="001A7C70" w:rsidRDefault="001A7C70" w:rsidP="00FA1525">
            <w:pPr>
              <w:jc w:val="center"/>
              <w:rPr>
                <w:bCs/>
                <w:sz w:val="16"/>
                <w:szCs w:val="16"/>
              </w:rPr>
            </w:pPr>
            <w:r w:rsidRPr="001A7C70">
              <w:rPr>
                <w:bCs/>
                <w:sz w:val="16"/>
                <w:szCs w:val="16"/>
              </w:rPr>
              <w:t>Veränderung</w:t>
            </w:r>
            <w:r w:rsidRPr="001A7C70">
              <w:rPr>
                <w:bCs/>
                <w:sz w:val="16"/>
                <w:szCs w:val="16"/>
              </w:rPr>
              <w:br/>
              <w:t>absolut</w:t>
            </w:r>
          </w:p>
        </w:tc>
        <w:tc>
          <w:tcPr>
            <w:tcW w:w="1276" w:type="dxa"/>
            <w:shd w:val="clear" w:color="auto" w:fill="B2B2B2"/>
            <w:vAlign w:val="center"/>
          </w:tcPr>
          <w:p w:rsidR="001A7C70" w:rsidRPr="001A7C70" w:rsidRDefault="001A7C70" w:rsidP="00FA1525">
            <w:pPr>
              <w:jc w:val="center"/>
              <w:rPr>
                <w:bCs/>
                <w:sz w:val="16"/>
                <w:szCs w:val="16"/>
              </w:rPr>
            </w:pPr>
            <w:r w:rsidRPr="001A7C70">
              <w:rPr>
                <w:bCs/>
                <w:sz w:val="16"/>
                <w:szCs w:val="16"/>
              </w:rPr>
              <w:t>Veränderung</w:t>
            </w:r>
            <w:r w:rsidRPr="001A7C70">
              <w:rPr>
                <w:bCs/>
                <w:sz w:val="16"/>
                <w:szCs w:val="16"/>
              </w:rPr>
              <w:br/>
              <w:t>in %</w:t>
            </w:r>
          </w:p>
        </w:tc>
      </w:tr>
      <w:tr w:rsidR="001A7C70" w:rsidRPr="00032AEB" w:rsidTr="001A7C70">
        <w:trPr>
          <w:trHeight w:val="567"/>
          <w:jc w:val="center"/>
        </w:trPr>
        <w:tc>
          <w:tcPr>
            <w:tcW w:w="4762" w:type="dxa"/>
            <w:vAlign w:val="center"/>
          </w:tcPr>
          <w:p w:rsidR="001A7C70" w:rsidRPr="001A7C70" w:rsidRDefault="001A7C70" w:rsidP="00FA1525">
            <w:pPr>
              <w:rPr>
                <w:rFonts w:cs="Open Sans"/>
                <w:sz w:val="16"/>
                <w:szCs w:val="16"/>
              </w:rPr>
            </w:pPr>
            <w:r w:rsidRPr="001A7C70">
              <w:rPr>
                <w:rFonts w:cs="Open Sans"/>
                <w:sz w:val="16"/>
                <w:szCs w:val="16"/>
              </w:rPr>
              <w:t>Privatinsolvenzen - Gesamt</w:t>
            </w:r>
          </w:p>
        </w:tc>
        <w:tc>
          <w:tcPr>
            <w:tcW w:w="1035" w:type="dxa"/>
            <w:vAlign w:val="center"/>
          </w:tcPr>
          <w:p w:rsidR="001A7C70" w:rsidRPr="001A7C70" w:rsidRDefault="001A7C70" w:rsidP="00FA1525">
            <w:pPr>
              <w:jc w:val="center"/>
              <w:rPr>
                <w:rFonts w:cs="Open Sans"/>
                <w:sz w:val="16"/>
                <w:szCs w:val="16"/>
              </w:rPr>
            </w:pPr>
            <w:r w:rsidRPr="001A7C70">
              <w:rPr>
                <w:rFonts w:cs="Open Sans"/>
                <w:sz w:val="16"/>
                <w:szCs w:val="16"/>
              </w:rPr>
              <w:t>7.305</w:t>
            </w:r>
          </w:p>
        </w:tc>
        <w:tc>
          <w:tcPr>
            <w:tcW w:w="992" w:type="dxa"/>
            <w:vAlign w:val="center"/>
          </w:tcPr>
          <w:p w:rsidR="001A7C70" w:rsidRPr="001A7C70" w:rsidRDefault="001A7C70" w:rsidP="00FA1525">
            <w:pPr>
              <w:jc w:val="center"/>
              <w:rPr>
                <w:rFonts w:cs="Open Sans"/>
                <w:sz w:val="16"/>
                <w:szCs w:val="16"/>
              </w:rPr>
            </w:pPr>
            <w:r w:rsidRPr="001A7C70">
              <w:rPr>
                <w:rFonts w:cs="Open Sans"/>
                <w:sz w:val="16"/>
                <w:szCs w:val="16"/>
              </w:rPr>
              <w:t>6.753</w:t>
            </w:r>
          </w:p>
        </w:tc>
        <w:tc>
          <w:tcPr>
            <w:tcW w:w="1276" w:type="dxa"/>
            <w:vAlign w:val="center"/>
          </w:tcPr>
          <w:p w:rsidR="001A7C70" w:rsidRPr="001A7C70" w:rsidRDefault="001A7C70" w:rsidP="00FA1525">
            <w:pPr>
              <w:jc w:val="center"/>
              <w:rPr>
                <w:rFonts w:cs="Open Sans"/>
                <w:color w:val="FF0000"/>
                <w:sz w:val="16"/>
                <w:szCs w:val="16"/>
              </w:rPr>
            </w:pPr>
            <w:r w:rsidRPr="001A7C70">
              <w:rPr>
                <w:rFonts w:cs="Open Sans"/>
                <w:color w:val="FF0000"/>
                <w:sz w:val="16"/>
                <w:szCs w:val="16"/>
              </w:rPr>
              <w:t>+552</w:t>
            </w:r>
          </w:p>
        </w:tc>
        <w:tc>
          <w:tcPr>
            <w:tcW w:w="1276" w:type="dxa"/>
            <w:vAlign w:val="center"/>
          </w:tcPr>
          <w:p w:rsidR="001A7C70" w:rsidRPr="001A7C70" w:rsidRDefault="001A7C70" w:rsidP="00FA1525">
            <w:pPr>
              <w:jc w:val="center"/>
              <w:rPr>
                <w:rFonts w:cs="Open Sans"/>
                <w:color w:val="FF0000"/>
                <w:sz w:val="16"/>
                <w:szCs w:val="16"/>
              </w:rPr>
            </w:pPr>
            <w:r w:rsidRPr="001A7C70">
              <w:rPr>
                <w:rFonts w:cs="Open Sans"/>
                <w:color w:val="FF0000"/>
                <w:sz w:val="16"/>
                <w:szCs w:val="16"/>
              </w:rPr>
              <w:t>+8,2</w:t>
            </w:r>
          </w:p>
        </w:tc>
      </w:tr>
      <w:tr w:rsidR="001A7C70" w:rsidRPr="00032AEB" w:rsidTr="001A7C70">
        <w:trPr>
          <w:trHeight w:val="567"/>
          <w:jc w:val="center"/>
        </w:trPr>
        <w:tc>
          <w:tcPr>
            <w:tcW w:w="4762" w:type="dxa"/>
            <w:shd w:val="clear" w:color="auto" w:fill="EAEAEA"/>
            <w:vAlign w:val="center"/>
          </w:tcPr>
          <w:p w:rsidR="001A7C70" w:rsidRPr="001A7C70" w:rsidRDefault="001A7C70" w:rsidP="00FA1525">
            <w:pPr>
              <w:ind w:left="113"/>
              <w:rPr>
                <w:rFonts w:cs="Open Sans"/>
                <w:sz w:val="16"/>
                <w:szCs w:val="16"/>
              </w:rPr>
            </w:pPr>
            <w:r w:rsidRPr="001A7C70">
              <w:rPr>
                <w:rFonts w:cs="Open Sans"/>
                <w:sz w:val="16"/>
                <w:szCs w:val="16"/>
              </w:rPr>
              <w:t>davon eröffnete Schuldenregulierungsverfahren</w:t>
            </w:r>
          </w:p>
        </w:tc>
        <w:tc>
          <w:tcPr>
            <w:tcW w:w="1035" w:type="dxa"/>
            <w:shd w:val="clear" w:color="auto" w:fill="EAEAEA"/>
            <w:vAlign w:val="center"/>
          </w:tcPr>
          <w:p w:rsidR="001A7C70" w:rsidRPr="001A7C70" w:rsidRDefault="001A7C70" w:rsidP="00FA1525">
            <w:pPr>
              <w:jc w:val="center"/>
              <w:rPr>
                <w:rFonts w:cs="Open Sans"/>
                <w:sz w:val="16"/>
                <w:szCs w:val="16"/>
              </w:rPr>
            </w:pPr>
            <w:r w:rsidRPr="001A7C70">
              <w:rPr>
                <w:rFonts w:cs="Open Sans"/>
                <w:sz w:val="16"/>
                <w:szCs w:val="16"/>
              </w:rPr>
              <w:t>6.660</w:t>
            </w:r>
          </w:p>
        </w:tc>
        <w:tc>
          <w:tcPr>
            <w:tcW w:w="992" w:type="dxa"/>
            <w:shd w:val="clear" w:color="auto" w:fill="EAEAEA"/>
            <w:vAlign w:val="center"/>
          </w:tcPr>
          <w:p w:rsidR="001A7C70" w:rsidRPr="001A7C70" w:rsidRDefault="001A7C70" w:rsidP="00FA1525">
            <w:pPr>
              <w:jc w:val="center"/>
              <w:rPr>
                <w:rFonts w:cs="Open Sans"/>
                <w:sz w:val="16"/>
                <w:szCs w:val="16"/>
              </w:rPr>
            </w:pPr>
            <w:r w:rsidRPr="001A7C70">
              <w:rPr>
                <w:rFonts w:cs="Open Sans"/>
                <w:sz w:val="16"/>
                <w:szCs w:val="16"/>
              </w:rPr>
              <w:t>6.201</w:t>
            </w:r>
          </w:p>
        </w:tc>
        <w:tc>
          <w:tcPr>
            <w:tcW w:w="1276" w:type="dxa"/>
            <w:shd w:val="clear" w:color="auto" w:fill="EAEAEA"/>
            <w:vAlign w:val="center"/>
          </w:tcPr>
          <w:p w:rsidR="001A7C70" w:rsidRPr="001A7C70" w:rsidRDefault="001A7C70" w:rsidP="00FA1525">
            <w:pPr>
              <w:jc w:val="center"/>
              <w:rPr>
                <w:rFonts w:cs="Open Sans"/>
                <w:color w:val="FF0000"/>
                <w:sz w:val="16"/>
                <w:szCs w:val="16"/>
              </w:rPr>
            </w:pPr>
            <w:r w:rsidRPr="001A7C70">
              <w:rPr>
                <w:rFonts w:cs="Open Sans"/>
                <w:color w:val="FF0000"/>
                <w:sz w:val="16"/>
                <w:szCs w:val="16"/>
              </w:rPr>
              <w:t>+459</w:t>
            </w:r>
          </w:p>
        </w:tc>
        <w:tc>
          <w:tcPr>
            <w:tcW w:w="1276" w:type="dxa"/>
            <w:shd w:val="clear" w:color="auto" w:fill="EAEAEA"/>
            <w:vAlign w:val="center"/>
          </w:tcPr>
          <w:p w:rsidR="001A7C70" w:rsidRPr="001A7C70" w:rsidRDefault="001A7C70" w:rsidP="00FA1525">
            <w:pPr>
              <w:jc w:val="center"/>
              <w:rPr>
                <w:rFonts w:cs="Open Sans"/>
                <w:color w:val="FF0000"/>
                <w:sz w:val="16"/>
                <w:szCs w:val="16"/>
              </w:rPr>
            </w:pPr>
            <w:r w:rsidRPr="001A7C70">
              <w:rPr>
                <w:rFonts w:cs="Open Sans"/>
                <w:color w:val="FF0000"/>
                <w:sz w:val="16"/>
                <w:szCs w:val="16"/>
              </w:rPr>
              <w:t>+7,4</w:t>
            </w:r>
          </w:p>
        </w:tc>
      </w:tr>
      <w:tr w:rsidR="001A7C70" w:rsidRPr="00032AEB" w:rsidTr="001A7C70">
        <w:trPr>
          <w:trHeight w:val="567"/>
          <w:jc w:val="center"/>
        </w:trPr>
        <w:tc>
          <w:tcPr>
            <w:tcW w:w="4762" w:type="dxa"/>
            <w:vAlign w:val="center"/>
          </w:tcPr>
          <w:p w:rsidR="001A7C70" w:rsidRPr="001A7C70" w:rsidRDefault="001A7C70" w:rsidP="00FA1525">
            <w:pPr>
              <w:ind w:left="113"/>
              <w:rPr>
                <w:rFonts w:cs="Open Sans"/>
                <w:sz w:val="16"/>
                <w:szCs w:val="16"/>
              </w:rPr>
            </w:pPr>
            <w:r w:rsidRPr="001A7C70">
              <w:rPr>
                <w:rFonts w:cs="Open Sans"/>
                <w:sz w:val="16"/>
                <w:szCs w:val="16"/>
              </w:rPr>
              <w:t>davon mangels Vermögen abgewiesene Insolvenzverfahren</w:t>
            </w:r>
          </w:p>
        </w:tc>
        <w:tc>
          <w:tcPr>
            <w:tcW w:w="1035" w:type="dxa"/>
            <w:vAlign w:val="center"/>
          </w:tcPr>
          <w:p w:rsidR="001A7C70" w:rsidRPr="001A7C70" w:rsidRDefault="001A7C70" w:rsidP="00FA1525">
            <w:pPr>
              <w:jc w:val="center"/>
              <w:rPr>
                <w:rFonts w:cs="Open Sans"/>
                <w:sz w:val="16"/>
                <w:szCs w:val="16"/>
              </w:rPr>
            </w:pPr>
            <w:r w:rsidRPr="001A7C70">
              <w:rPr>
                <w:rFonts w:cs="Open Sans"/>
                <w:sz w:val="16"/>
                <w:szCs w:val="16"/>
              </w:rPr>
              <w:t>645</w:t>
            </w:r>
          </w:p>
        </w:tc>
        <w:tc>
          <w:tcPr>
            <w:tcW w:w="992" w:type="dxa"/>
            <w:vAlign w:val="center"/>
          </w:tcPr>
          <w:p w:rsidR="001A7C70" w:rsidRPr="001A7C70" w:rsidRDefault="001A7C70" w:rsidP="00FA1525">
            <w:pPr>
              <w:jc w:val="center"/>
              <w:rPr>
                <w:rFonts w:cs="Open Sans"/>
                <w:sz w:val="16"/>
                <w:szCs w:val="16"/>
              </w:rPr>
            </w:pPr>
            <w:r w:rsidRPr="001A7C70">
              <w:rPr>
                <w:rFonts w:cs="Open Sans"/>
                <w:sz w:val="16"/>
                <w:szCs w:val="16"/>
              </w:rPr>
              <w:t>552</w:t>
            </w:r>
          </w:p>
        </w:tc>
        <w:tc>
          <w:tcPr>
            <w:tcW w:w="1276" w:type="dxa"/>
            <w:vAlign w:val="center"/>
          </w:tcPr>
          <w:p w:rsidR="001A7C70" w:rsidRPr="001A7C70" w:rsidRDefault="001A7C70" w:rsidP="00FA1525">
            <w:pPr>
              <w:jc w:val="center"/>
              <w:rPr>
                <w:rFonts w:cs="Open Sans"/>
                <w:color w:val="FF0000"/>
                <w:sz w:val="16"/>
                <w:szCs w:val="16"/>
              </w:rPr>
            </w:pPr>
            <w:r w:rsidRPr="001A7C70">
              <w:rPr>
                <w:rFonts w:cs="Open Sans"/>
                <w:color w:val="FF0000"/>
                <w:sz w:val="16"/>
                <w:szCs w:val="16"/>
              </w:rPr>
              <w:t>+93</w:t>
            </w:r>
          </w:p>
        </w:tc>
        <w:tc>
          <w:tcPr>
            <w:tcW w:w="1276" w:type="dxa"/>
            <w:vAlign w:val="center"/>
          </w:tcPr>
          <w:p w:rsidR="001A7C70" w:rsidRPr="001A7C70" w:rsidRDefault="001A7C70" w:rsidP="00FA1525">
            <w:pPr>
              <w:jc w:val="center"/>
              <w:rPr>
                <w:rFonts w:cs="Open Sans"/>
                <w:color w:val="FF0000"/>
                <w:sz w:val="16"/>
                <w:szCs w:val="16"/>
              </w:rPr>
            </w:pPr>
            <w:r w:rsidRPr="001A7C70">
              <w:rPr>
                <w:rFonts w:cs="Open Sans"/>
                <w:color w:val="FF0000"/>
                <w:sz w:val="16"/>
                <w:szCs w:val="16"/>
              </w:rPr>
              <w:t>+16,8</w:t>
            </w:r>
          </w:p>
        </w:tc>
      </w:tr>
    </w:tbl>
    <w:p w:rsidR="001A7C70" w:rsidRDefault="001A7C70" w:rsidP="001A7C70">
      <w:pPr>
        <w:rPr>
          <w:sz w:val="22"/>
          <w:szCs w:val="22"/>
        </w:rPr>
      </w:pPr>
    </w:p>
    <w:p w:rsidR="001A7C70" w:rsidRPr="001A7C70" w:rsidRDefault="001A7C70" w:rsidP="001A7C70">
      <w:pPr>
        <w:rPr>
          <w:sz w:val="22"/>
          <w:szCs w:val="22"/>
        </w:rPr>
      </w:pPr>
      <w:r w:rsidRPr="001A7C70">
        <w:rPr>
          <w:sz w:val="22"/>
          <w:szCs w:val="22"/>
        </w:rPr>
        <w:t>Gerhard M. Weinhofer, Geschäftsführer des Gläubigerschutzverbandes Österreichischer Verband Creditreform analysiert die Insolvenzentwicklung: „Die Entwicklung der Privatinsolvenzen zeigt eine Rückkehr zur insolvenzthematischen „Normalität“. Ungeachtet der Inflation und der heraufziehenden Rezession bleibt die Zahl der Privatinsolvenzen Dank des stabilen Arbeitsmarktes und diverser Anti-Teuerungsmaßnahmen nach wie vor hinter dem Vor-Pandemie-Niveau von 2019. Auch die Zinswende mit steigenden Kreditzinsen hat nicht merkbar zu mehr Insolvenzanträgen geführt.“</w:t>
      </w:r>
    </w:p>
    <w:p w:rsidR="001A7C70" w:rsidRPr="001A7C70" w:rsidRDefault="001A7C70" w:rsidP="001A7C70">
      <w:pPr>
        <w:rPr>
          <w:sz w:val="22"/>
          <w:szCs w:val="22"/>
        </w:rPr>
      </w:pPr>
      <w:r w:rsidRPr="001A7C70">
        <w:rPr>
          <w:sz w:val="22"/>
          <w:szCs w:val="22"/>
        </w:rPr>
        <w:t xml:space="preserve">Basis für die prekäre Situation vieler überschuldeter/zahlungsunfähiger Personen ist grundsätzlich, dass die meisten über eine längere Zeit über ihren Verhältnissen gelebt </w:t>
      </w:r>
      <w:r w:rsidRPr="001A7C70">
        <w:rPr>
          <w:sz w:val="22"/>
          <w:szCs w:val="22"/>
        </w:rPr>
        <w:lastRenderedPageBreak/>
        <w:t xml:space="preserve">und mehr ausgegeben als verdient haben. Dazu kommt dann als auslösende Insolvenzursache eine toxische Mischung vieler Tatbestände: Jobverlust, gescheiterte Selbständigkeit, Scheidung, Krankheit. </w:t>
      </w:r>
    </w:p>
    <w:p w:rsidR="001A7C70" w:rsidRPr="001A7C70" w:rsidRDefault="001A7C70" w:rsidP="001A7C70">
      <w:pPr>
        <w:rPr>
          <w:sz w:val="22"/>
          <w:szCs w:val="22"/>
        </w:rPr>
      </w:pPr>
      <w:r w:rsidRPr="001A7C70">
        <w:rPr>
          <w:sz w:val="22"/>
          <w:szCs w:val="22"/>
        </w:rPr>
        <w:t>Ein Drittel der Schuldner sind gescheiterte Selbständige. Die Durchschnittsverschulden liegt bei rund 60.000 Euro.</w:t>
      </w:r>
    </w:p>
    <w:p w:rsidR="0044304A" w:rsidRDefault="0044304A" w:rsidP="0044304A">
      <w:pPr>
        <w:rPr>
          <w:sz w:val="22"/>
          <w:szCs w:val="22"/>
        </w:rPr>
      </w:pPr>
    </w:p>
    <w:p w:rsidR="001A7C70" w:rsidRPr="001A7C70" w:rsidRDefault="001A7C70" w:rsidP="001A7C70">
      <w:pPr>
        <w:rPr>
          <w:b/>
          <w:sz w:val="22"/>
          <w:szCs w:val="22"/>
        </w:rPr>
      </w:pPr>
      <w:r w:rsidRPr="001A7C70">
        <w:rPr>
          <w:b/>
          <w:sz w:val="22"/>
          <w:szCs w:val="22"/>
        </w:rPr>
        <w:t>Bundesländervergleich: 10 von 10.000 Erwachsene sind insolvent</w:t>
      </w:r>
    </w:p>
    <w:p w:rsidR="001A7C70" w:rsidRPr="001A7C70" w:rsidRDefault="001A7C70" w:rsidP="001A7C70">
      <w:pPr>
        <w:rPr>
          <w:sz w:val="22"/>
          <w:szCs w:val="22"/>
        </w:rPr>
      </w:pPr>
      <w:r w:rsidRPr="001A7C70">
        <w:rPr>
          <w:sz w:val="22"/>
          <w:szCs w:val="22"/>
        </w:rPr>
        <w:t xml:space="preserve">Im Bundesländervergleich gibt es den stärksten Zuwachs in Vorarlberg (+37,9%), gefolgt vom Burgenland (+23,6%) und Kärnten (+18,2%). In der Steiermark (-3,4%) und in Niederösterreich (-1,3%) hingegen sinken die Insolvenzen. </w:t>
      </w:r>
    </w:p>
    <w:p w:rsidR="001A7C70" w:rsidRPr="001A7C70" w:rsidRDefault="001A7C70" w:rsidP="001A7C70">
      <w:pPr>
        <w:rPr>
          <w:sz w:val="22"/>
          <w:szCs w:val="22"/>
        </w:rPr>
      </w:pPr>
      <w:r w:rsidRPr="001A7C70">
        <w:rPr>
          <w:sz w:val="22"/>
          <w:szCs w:val="22"/>
        </w:rPr>
        <w:t>Absolut betrachtet verzeichnet Wien die höchste Zahl an Insolvenzen (2.388 Fälle), aber auch bei der relativen Insolvenzbetroffenheit ist die Bundeshauptstadt führend: 15 von 10.000 erwachsene Wiener gehen vor das Insolvenzgericht. Österreichweit sind 10 von 10.000 Erwachsene zahlungsunfähig.</w:t>
      </w:r>
    </w:p>
    <w:p w:rsidR="001A7C70" w:rsidRDefault="001A7C70" w:rsidP="001A7C70">
      <w:pPr>
        <w:rPr>
          <w:i/>
          <w:sz w:val="16"/>
          <w:szCs w:val="16"/>
        </w:rPr>
      </w:pPr>
    </w:p>
    <w:p w:rsidR="001A7C70" w:rsidRPr="001A7C70" w:rsidRDefault="001A7C70" w:rsidP="001A7C70">
      <w:pPr>
        <w:rPr>
          <w:i/>
          <w:sz w:val="16"/>
          <w:szCs w:val="16"/>
        </w:rPr>
      </w:pPr>
      <w:r w:rsidRPr="001A7C70">
        <w:rPr>
          <w:i/>
          <w:sz w:val="16"/>
          <w:szCs w:val="16"/>
        </w:rPr>
        <w:t>Tab. 2: Privatinsolvenzen je Bundesland, 1.-3. Quartal 2023</w:t>
      </w:r>
    </w:p>
    <w:tbl>
      <w:tblPr>
        <w:tblStyle w:val="Tabellenraster"/>
        <w:tblW w:w="9484" w:type="dxa"/>
        <w:jc w:val="center"/>
        <w:tblBorders>
          <w:top w:val="single" w:sz="12" w:space="0" w:color="009EE2"/>
          <w:left w:val="single" w:sz="12" w:space="0" w:color="009EE2"/>
          <w:bottom w:val="single" w:sz="12" w:space="0" w:color="009EE2"/>
          <w:right w:val="single" w:sz="12" w:space="0" w:color="009EE2"/>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2679"/>
        <w:gridCol w:w="1361"/>
        <w:gridCol w:w="1361"/>
        <w:gridCol w:w="1361"/>
        <w:gridCol w:w="1361"/>
        <w:gridCol w:w="1361"/>
      </w:tblGrid>
      <w:tr w:rsidR="001A7C70" w:rsidRPr="009D5EFF" w:rsidTr="001A7C70">
        <w:trPr>
          <w:jc w:val="center"/>
        </w:trPr>
        <w:tc>
          <w:tcPr>
            <w:tcW w:w="2679" w:type="dxa"/>
            <w:shd w:val="clear" w:color="auto" w:fill="B2B2B2"/>
            <w:vAlign w:val="bottom"/>
          </w:tcPr>
          <w:p w:rsidR="001A7C70" w:rsidRPr="001A7C70" w:rsidRDefault="001A7C70" w:rsidP="00FA1525">
            <w:pPr>
              <w:rPr>
                <w:rFonts w:cs="Open Sans"/>
                <w:sz w:val="16"/>
                <w:szCs w:val="16"/>
              </w:rPr>
            </w:pPr>
            <w:r w:rsidRPr="001A7C70">
              <w:rPr>
                <w:rFonts w:cs="Open Sans"/>
                <w:sz w:val="16"/>
                <w:szCs w:val="16"/>
              </w:rPr>
              <w:t> </w:t>
            </w:r>
          </w:p>
        </w:tc>
        <w:tc>
          <w:tcPr>
            <w:tcW w:w="1361" w:type="dxa"/>
            <w:shd w:val="clear" w:color="auto" w:fill="B2B2B2"/>
            <w:vAlign w:val="center"/>
          </w:tcPr>
          <w:p w:rsidR="001A7C70" w:rsidRPr="001A7C70" w:rsidRDefault="001A7C70" w:rsidP="00FA1525">
            <w:pPr>
              <w:jc w:val="center"/>
              <w:rPr>
                <w:rFonts w:cs="Open Sans"/>
                <w:bCs/>
                <w:sz w:val="16"/>
                <w:szCs w:val="16"/>
              </w:rPr>
            </w:pPr>
            <w:r w:rsidRPr="001A7C70">
              <w:rPr>
                <w:rFonts w:cs="Open Sans"/>
                <w:bCs/>
                <w:sz w:val="16"/>
                <w:szCs w:val="16"/>
              </w:rPr>
              <w:t xml:space="preserve">1. </w:t>
            </w:r>
            <w:r w:rsidR="009A4F08">
              <w:rPr>
                <w:rFonts w:cs="Open Sans"/>
                <w:bCs/>
                <w:sz w:val="16"/>
                <w:szCs w:val="16"/>
              </w:rPr>
              <w:t xml:space="preserve">– 3. </w:t>
            </w:r>
            <w:r w:rsidRPr="001A7C70">
              <w:rPr>
                <w:rFonts w:cs="Open Sans"/>
                <w:bCs/>
                <w:sz w:val="16"/>
                <w:szCs w:val="16"/>
              </w:rPr>
              <w:t>Quartal 2023</w:t>
            </w:r>
          </w:p>
        </w:tc>
        <w:tc>
          <w:tcPr>
            <w:tcW w:w="1361" w:type="dxa"/>
            <w:shd w:val="clear" w:color="auto" w:fill="B2B2B2"/>
            <w:vAlign w:val="center"/>
          </w:tcPr>
          <w:p w:rsidR="001A7C70" w:rsidRPr="001A7C70" w:rsidRDefault="001A7C70" w:rsidP="00FA1525">
            <w:pPr>
              <w:jc w:val="center"/>
              <w:rPr>
                <w:rFonts w:cs="Open Sans"/>
                <w:bCs/>
                <w:sz w:val="16"/>
                <w:szCs w:val="16"/>
              </w:rPr>
            </w:pPr>
            <w:r w:rsidRPr="001A7C70">
              <w:rPr>
                <w:rFonts w:cs="Open Sans"/>
                <w:bCs/>
                <w:sz w:val="16"/>
                <w:szCs w:val="16"/>
              </w:rPr>
              <w:t>1.</w:t>
            </w:r>
            <w:r w:rsidR="009A4F08">
              <w:rPr>
                <w:rFonts w:cs="Open Sans"/>
                <w:bCs/>
                <w:sz w:val="16"/>
                <w:szCs w:val="16"/>
              </w:rPr>
              <w:t xml:space="preserve"> – 3.</w:t>
            </w:r>
            <w:bookmarkStart w:id="1" w:name="_GoBack"/>
            <w:bookmarkEnd w:id="1"/>
            <w:r w:rsidRPr="001A7C70">
              <w:rPr>
                <w:rFonts w:cs="Open Sans"/>
                <w:bCs/>
                <w:sz w:val="16"/>
                <w:szCs w:val="16"/>
              </w:rPr>
              <w:t xml:space="preserve"> Quartal 2022</w:t>
            </w:r>
          </w:p>
        </w:tc>
        <w:tc>
          <w:tcPr>
            <w:tcW w:w="1361" w:type="dxa"/>
            <w:shd w:val="clear" w:color="auto" w:fill="B2B2B2"/>
            <w:vAlign w:val="center"/>
          </w:tcPr>
          <w:p w:rsidR="001A7C70" w:rsidRPr="001A7C70" w:rsidRDefault="001A7C70" w:rsidP="00FA1525">
            <w:pPr>
              <w:jc w:val="center"/>
              <w:rPr>
                <w:rFonts w:cs="Open Sans"/>
                <w:bCs/>
                <w:sz w:val="16"/>
                <w:szCs w:val="16"/>
              </w:rPr>
            </w:pPr>
            <w:r w:rsidRPr="001A7C70">
              <w:rPr>
                <w:rFonts w:cs="Open Sans"/>
                <w:bCs/>
                <w:sz w:val="16"/>
                <w:szCs w:val="16"/>
              </w:rPr>
              <w:t>Veränderung</w:t>
            </w:r>
            <w:r w:rsidRPr="001A7C70">
              <w:rPr>
                <w:rFonts w:cs="Open Sans"/>
                <w:bCs/>
                <w:sz w:val="16"/>
                <w:szCs w:val="16"/>
              </w:rPr>
              <w:br/>
              <w:t>absolut</w:t>
            </w:r>
          </w:p>
        </w:tc>
        <w:tc>
          <w:tcPr>
            <w:tcW w:w="1361" w:type="dxa"/>
            <w:shd w:val="clear" w:color="auto" w:fill="B2B2B2"/>
            <w:vAlign w:val="center"/>
          </w:tcPr>
          <w:p w:rsidR="001A7C70" w:rsidRPr="001A7C70" w:rsidRDefault="001A7C70" w:rsidP="00FA1525">
            <w:pPr>
              <w:jc w:val="center"/>
              <w:rPr>
                <w:rFonts w:cs="Open Sans"/>
                <w:bCs/>
                <w:sz w:val="16"/>
                <w:szCs w:val="16"/>
              </w:rPr>
            </w:pPr>
            <w:r w:rsidRPr="001A7C70">
              <w:rPr>
                <w:rFonts w:cs="Open Sans"/>
                <w:bCs/>
                <w:sz w:val="16"/>
                <w:szCs w:val="16"/>
              </w:rPr>
              <w:t>Veränderung</w:t>
            </w:r>
            <w:r w:rsidRPr="001A7C70">
              <w:rPr>
                <w:rFonts w:cs="Open Sans"/>
                <w:bCs/>
                <w:sz w:val="16"/>
                <w:szCs w:val="16"/>
              </w:rPr>
              <w:br/>
              <w:t>in %</w:t>
            </w:r>
          </w:p>
        </w:tc>
        <w:tc>
          <w:tcPr>
            <w:tcW w:w="1361" w:type="dxa"/>
            <w:shd w:val="clear" w:color="auto" w:fill="B2B2B2"/>
            <w:vAlign w:val="center"/>
          </w:tcPr>
          <w:p w:rsidR="001A7C70" w:rsidRPr="001A7C70" w:rsidRDefault="001A7C70" w:rsidP="00FA1525">
            <w:pPr>
              <w:jc w:val="center"/>
              <w:rPr>
                <w:rFonts w:cs="Open Sans"/>
                <w:sz w:val="16"/>
                <w:szCs w:val="16"/>
              </w:rPr>
            </w:pPr>
            <w:r w:rsidRPr="001A7C70">
              <w:rPr>
                <w:rFonts w:cs="Open Sans"/>
                <w:sz w:val="16"/>
                <w:szCs w:val="16"/>
              </w:rPr>
              <w:t>Insolvenzen</w:t>
            </w:r>
            <w:r w:rsidRPr="001A7C70">
              <w:rPr>
                <w:rFonts w:cs="Open Sans"/>
                <w:sz w:val="16"/>
                <w:szCs w:val="16"/>
              </w:rPr>
              <w:br/>
              <w:t>je 10.000</w:t>
            </w:r>
            <w:r>
              <w:rPr>
                <w:rFonts w:cs="Open Sans"/>
                <w:sz w:val="16"/>
                <w:szCs w:val="16"/>
              </w:rPr>
              <w:br/>
            </w:r>
            <w:r w:rsidRPr="001A7C70">
              <w:rPr>
                <w:rFonts w:cs="Open Sans"/>
                <w:spacing w:val="-6"/>
                <w:sz w:val="16"/>
                <w:szCs w:val="16"/>
              </w:rPr>
              <w:t>Erwachsene</w:t>
            </w:r>
          </w:p>
        </w:tc>
      </w:tr>
      <w:tr w:rsidR="001A7C70" w:rsidTr="001A7C70">
        <w:trPr>
          <w:trHeight w:val="397"/>
          <w:jc w:val="center"/>
        </w:trPr>
        <w:tc>
          <w:tcPr>
            <w:tcW w:w="2679" w:type="dxa"/>
            <w:vAlign w:val="center"/>
          </w:tcPr>
          <w:p w:rsidR="001A7C70" w:rsidRPr="001A7C70" w:rsidRDefault="001A7C70" w:rsidP="00FA1525">
            <w:pPr>
              <w:rPr>
                <w:rFonts w:cs="Open Sans"/>
                <w:sz w:val="16"/>
                <w:szCs w:val="16"/>
              </w:rPr>
            </w:pPr>
            <w:r w:rsidRPr="001A7C70">
              <w:rPr>
                <w:rFonts w:cs="Open Sans"/>
                <w:sz w:val="16"/>
                <w:szCs w:val="16"/>
              </w:rPr>
              <w:t>Wien</w:t>
            </w:r>
          </w:p>
        </w:tc>
        <w:tc>
          <w:tcPr>
            <w:tcW w:w="1361" w:type="dxa"/>
            <w:vAlign w:val="center"/>
          </w:tcPr>
          <w:p w:rsidR="001A7C70" w:rsidRPr="001A7C70" w:rsidRDefault="001A7C70" w:rsidP="00FA1525">
            <w:pPr>
              <w:jc w:val="center"/>
              <w:rPr>
                <w:rFonts w:cs="Open Sans"/>
                <w:sz w:val="16"/>
                <w:szCs w:val="16"/>
              </w:rPr>
            </w:pPr>
            <w:r w:rsidRPr="001A7C70">
              <w:rPr>
                <w:rFonts w:cs="Open Sans"/>
                <w:sz w:val="16"/>
                <w:szCs w:val="16"/>
              </w:rPr>
              <w:t>2.388</w:t>
            </w:r>
          </w:p>
        </w:tc>
        <w:tc>
          <w:tcPr>
            <w:tcW w:w="1361" w:type="dxa"/>
            <w:vAlign w:val="center"/>
          </w:tcPr>
          <w:p w:rsidR="001A7C70" w:rsidRPr="001A7C70" w:rsidRDefault="001A7C70" w:rsidP="00FA1525">
            <w:pPr>
              <w:jc w:val="center"/>
              <w:rPr>
                <w:rFonts w:cs="Open Sans"/>
                <w:sz w:val="16"/>
                <w:szCs w:val="16"/>
              </w:rPr>
            </w:pPr>
            <w:r w:rsidRPr="001A7C70">
              <w:rPr>
                <w:rFonts w:cs="Open Sans"/>
                <w:sz w:val="16"/>
                <w:szCs w:val="16"/>
              </w:rPr>
              <w:t>2.197</w:t>
            </w:r>
          </w:p>
        </w:tc>
        <w:tc>
          <w:tcPr>
            <w:tcW w:w="1361" w:type="dxa"/>
            <w:vAlign w:val="center"/>
          </w:tcPr>
          <w:p w:rsidR="001A7C70" w:rsidRPr="001A7C70" w:rsidRDefault="001A7C70" w:rsidP="00FA1525">
            <w:pPr>
              <w:jc w:val="center"/>
              <w:rPr>
                <w:rFonts w:cs="Open Sans"/>
                <w:color w:val="FF0000"/>
                <w:sz w:val="16"/>
                <w:szCs w:val="16"/>
              </w:rPr>
            </w:pPr>
            <w:r w:rsidRPr="001A7C70">
              <w:rPr>
                <w:rFonts w:cs="Open Sans"/>
                <w:color w:val="FF0000"/>
                <w:sz w:val="16"/>
                <w:szCs w:val="16"/>
              </w:rPr>
              <w:t>+191</w:t>
            </w:r>
          </w:p>
        </w:tc>
        <w:tc>
          <w:tcPr>
            <w:tcW w:w="1361" w:type="dxa"/>
            <w:vAlign w:val="center"/>
          </w:tcPr>
          <w:p w:rsidR="001A7C70" w:rsidRPr="001A7C70" w:rsidRDefault="001A7C70" w:rsidP="00FA1525">
            <w:pPr>
              <w:jc w:val="center"/>
              <w:rPr>
                <w:rFonts w:cs="Open Sans"/>
                <w:color w:val="FF0000"/>
                <w:sz w:val="16"/>
                <w:szCs w:val="16"/>
              </w:rPr>
            </w:pPr>
            <w:r w:rsidRPr="001A7C70">
              <w:rPr>
                <w:rFonts w:cs="Open Sans"/>
                <w:color w:val="FF0000"/>
                <w:sz w:val="16"/>
                <w:szCs w:val="16"/>
              </w:rPr>
              <w:t>+8,7</w:t>
            </w:r>
          </w:p>
        </w:tc>
        <w:tc>
          <w:tcPr>
            <w:tcW w:w="1361" w:type="dxa"/>
            <w:vAlign w:val="center"/>
          </w:tcPr>
          <w:p w:rsidR="001A7C70" w:rsidRPr="001A7C70" w:rsidRDefault="001A7C70" w:rsidP="00FA1525">
            <w:pPr>
              <w:jc w:val="center"/>
              <w:rPr>
                <w:rFonts w:cs="Open Sans"/>
                <w:sz w:val="16"/>
                <w:szCs w:val="16"/>
              </w:rPr>
            </w:pPr>
            <w:r w:rsidRPr="001A7C70">
              <w:rPr>
                <w:rFonts w:cs="Open Sans"/>
                <w:sz w:val="16"/>
                <w:szCs w:val="16"/>
              </w:rPr>
              <w:t>15,0</w:t>
            </w:r>
          </w:p>
        </w:tc>
      </w:tr>
      <w:tr w:rsidR="001A7C70" w:rsidTr="001A7C70">
        <w:trPr>
          <w:trHeight w:val="397"/>
          <w:jc w:val="center"/>
        </w:trPr>
        <w:tc>
          <w:tcPr>
            <w:tcW w:w="2679" w:type="dxa"/>
            <w:shd w:val="clear" w:color="auto" w:fill="EAEAEA"/>
            <w:vAlign w:val="center"/>
          </w:tcPr>
          <w:p w:rsidR="001A7C70" w:rsidRPr="001A7C70" w:rsidRDefault="001A7C70" w:rsidP="00FA1525">
            <w:pPr>
              <w:rPr>
                <w:rFonts w:cs="Open Sans"/>
                <w:sz w:val="16"/>
                <w:szCs w:val="16"/>
              </w:rPr>
            </w:pPr>
            <w:r w:rsidRPr="001A7C70">
              <w:rPr>
                <w:rFonts w:cs="Open Sans"/>
                <w:sz w:val="16"/>
                <w:szCs w:val="16"/>
              </w:rPr>
              <w:t>Niederösterreich</w:t>
            </w:r>
          </w:p>
        </w:tc>
        <w:tc>
          <w:tcPr>
            <w:tcW w:w="1361" w:type="dxa"/>
            <w:shd w:val="clear" w:color="auto" w:fill="EAEAEA"/>
            <w:vAlign w:val="center"/>
          </w:tcPr>
          <w:p w:rsidR="001A7C70" w:rsidRPr="001A7C70" w:rsidRDefault="001A7C70" w:rsidP="00FA1525">
            <w:pPr>
              <w:jc w:val="center"/>
              <w:rPr>
                <w:rFonts w:cs="Open Sans"/>
                <w:sz w:val="16"/>
                <w:szCs w:val="16"/>
              </w:rPr>
            </w:pPr>
            <w:r w:rsidRPr="001A7C70">
              <w:rPr>
                <w:rFonts w:cs="Open Sans"/>
                <w:sz w:val="16"/>
                <w:szCs w:val="16"/>
              </w:rPr>
              <w:t>1.075</w:t>
            </w:r>
          </w:p>
        </w:tc>
        <w:tc>
          <w:tcPr>
            <w:tcW w:w="1361" w:type="dxa"/>
            <w:shd w:val="clear" w:color="auto" w:fill="EAEAEA"/>
            <w:vAlign w:val="center"/>
          </w:tcPr>
          <w:p w:rsidR="001A7C70" w:rsidRPr="001A7C70" w:rsidRDefault="001A7C70" w:rsidP="00FA1525">
            <w:pPr>
              <w:jc w:val="center"/>
              <w:rPr>
                <w:rFonts w:cs="Open Sans"/>
                <w:sz w:val="16"/>
                <w:szCs w:val="16"/>
              </w:rPr>
            </w:pPr>
            <w:r w:rsidRPr="001A7C70">
              <w:rPr>
                <w:rFonts w:cs="Open Sans"/>
                <w:sz w:val="16"/>
                <w:szCs w:val="16"/>
              </w:rPr>
              <w:t>1.089</w:t>
            </w:r>
          </w:p>
        </w:tc>
        <w:tc>
          <w:tcPr>
            <w:tcW w:w="1361" w:type="dxa"/>
            <w:shd w:val="clear" w:color="auto" w:fill="EAEAEA"/>
            <w:vAlign w:val="center"/>
          </w:tcPr>
          <w:p w:rsidR="001A7C70" w:rsidRPr="001A7C70" w:rsidRDefault="001A7C70" w:rsidP="00FA1525">
            <w:pPr>
              <w:jc w:val="center"/>
              <w:rPr>
                <w:rFonts w:cs="Open Sans"/>
                <w:color w:val="00B050"/>
                <w:sz w:val="16"/>
                <w:szCs w:val="16"/>
              </w:rPr>
            </w:pPr>
            <w:r w:rsidRPr="001A7C70">
              <w:rPr>
                <w:rFonts w:cs="Open Sans"/>
                <w:color w:val="00B050"/>
                <w:sz w:val="16"/>
                <w:szCs w:val="16"/>
              </w:rPr>
              <w:t>-14</w:t>
            </w:r>
          </w:p>
        </w:tc>
        <w:tc>
          <w:tcPr>
            <w:tcW w:w="1361" w:type="dxa"/>
            <w:shd w:val="clear" w:color="auto" w:fill="EAEAEA"/>
            <w:vAlign w:val="center"/>
          </w:tcPr>
          <w:p w:rsidR="001A7C70" w:rsidRPr="001A7C70" w:rsidRDefault="001A7C70" w:rsidP="00FA1525">
            <w:pPr>
              <w:jc w:val="center"/>
              <w:rPr>
                <w:rFonts w:cs="Open Sans"/>
                <w:color w:val="00B050"/>
                <w:sz w:val="16"/>
                <w:szCs w:val="16"/>
              </w:rPr>
            </w:pPr>
            <w:r w:rsidRPr="001A7C70">
              <w:rPr>
                <w:rFonts w:cs="Open Sans"/>
                <w:color w:val="00B050"/>
                <w:sz w:val="16"/>
                <w:szCs w:val="16"/>
              </w:rPr>
              <w:t>-1,3</w:t>
            </w:r>
          </w:p>
        </w:tc>
        <w:tc>
          <w:tcPr>
            <w:tcW w:w="1361" w:type="dxa"/>
            <w:shd w:val="clear" w:color="auto" w:fill="EAEAEA"/>
            <w:vAlign w:val="center"/>
          </w:tcPr>
          <w:p w:rsidR="001A7C70" w:rsidRPr="001A7C70" w:rsidRDefault="001A7C70" w:rsidP="00FA1525">
            <w:pPr>
              <w:jc w:val="center"/>
              <w:rPr>
                <w:rFonts w:cs="Open Sans"/>
                <w:sz w:val="16"/>
                <w:szCs w:val="16"/>
              </w:rPr>
            </w:pPr>
            <w:r w:rsidRPr="001A7C70">
              <w:rPr>
                <w:rFonts w:cs="Open Sans"/>
                <w:sz w:val="16"/>
                <w:szCs w:val="16"/>
              </w:rPr>
              <w:t>7,7</w:t>
            </w:r>
          </w:p>
        </w:tc>
      </w:tr>
      <w:tr w:rsidR="001A7C70" w:rsidTr="001A7C70">
        <w:trPr>
          <w:trHeight w:val="397"/>
          <w:jc w:val="center"/>
        </w:trPr>
        <w:tc>
          <w:tcPr>
            <w:tcW w:w="2679" w:type="dxa"/>
            <w:vAlign w:val="center"/>
          </w:tcPr>
          <w:p w:rsidR="001A7C70" w:rsidRPr="001A7C70" w:rsidRDefault="001A7C70" w:rsidP="00FA1525">
            <w:pPr>
              <w:rPr>
                <w:rFonts w:cs="Open Sans"/>
                <w:sz w:val="16"/>
                <w:szCs w:val="16"/>
              </w:rPr>
            </w:pPr>
            <w:r w:rsidRPr="001A7C70">
              <w:rPr>
                <w:rFonts w:cs="Open Sans"/>
                <w:sz w:val="16"/>
                <w:szCs w:val="16"/>
              </w:rPr>
              <w:t>Burgenland</w:t>
            </w:r>
          </w:p>
        </w:tc>
        <w:tc>
          <w:tcPr>
            <w:tcW w:w="1361" w:type="dxa"/>
            <w:vAlign w:val="center"/>
          </w:tcPr>
          <w:p w:rsidR="001A7C70" w:rsidRPr="001A7C70" w:rsidRDefault="001A7C70" w:rsidP="00FA1525">
            <w:pPr>
              <w:jc w:val="center"/>
              <w:rPr>
                <w:rFonts w:cs="Open Sans"/>
                <w:sz w:val="16"/>
                <w:szCs w:val="16"/>
              </w:rPr>
            </w:pPr>
            <w:r w:rsidRPr="001A7C70">
              <w:rPr>
                <w:rFonts w:cs="Open Sans"/>
                <w:sz w:val="16"/>
                <w:szCs w:val="16"/>
              </w:rPr>
              <w:t>131</w:t>
            </w:r>
          </w:p>
        </w:tc>
        <w:tc>
          <w:tcPr>
            <w:tcW w:w="1361" w:type="dxa"/>
            <w:vAlign w:val="center"/>
          </w:tcPr>
          <w:p w:rsidR="001A7C70" w:rsidRPr="001A7C70" w:rsidRDefault="001A7C70" w:rsidP="00FA1525">
            <w:pPr>
              <w:jc w:val="center"/>
              <w:rPr>
                <w:rFonts w:cs="Open Sans"/>
                <w:sz w:val="16"/>
                <w:szCs w:val="16"/>
              </w:rPr>
            </w:pPr>
            <w:r w:rsidRPr="001A7C70">
              <w:rPr>
                <w:rFonts w:cs="Open Sans"/>
                <w:sz w:val="16"/>
                <w:szCs w:val="16"/>
              </w:rPr>
              <w:t>106</w:t>
            </w:r>
          </w:p>
        </w:tc>
        <w:tc>
          <w:tcPr>
            <w:tcW w:w="1361" w:type="dxa"/>
            <w:vAlign w:val="center"/>
          </w:tcPr>
          <w:p w:rsidR="001A7C70" w:rsidRPr="001A7C70" w:rsidRDefault="001A7C70" w:rsidP="00FA1525">
            <w:pPr>
              <w:jc w:val="center"/>
              <w:rPr>
                <w:rFonts w:cs="Open Sans"/>
                <w:color w:val="FF0000"/>
                <w:sz w:val="16"/>
                <w:szCs w:val="16"/>
              </w:rPr>
            </w:pPr>
            <w:r w:rsidRPr="001A7C70">
              <w:rPr>
                <w:rFonts w:cs="Open Sans"/>
                <w:color w:val="FF0000"/>
                <w:sz w:val="16"/>
                <w:szCs w:val="16"/>
              </w:rPr>
              <w:t>+25</w:t>
            </w:r>
          </w:p>
        </w:tc>
        <w:tc>
          <w:tcPr>
            <w:tcW w:w="1361" w:type="dxa"/>
            <w:vAlign w:val="center"/>
          </w:tcPr>
          <w:p w:rsidR="001A7C70" w:rsidRPr="001A7C70" w:rsidRDefault="001A7C70" w:rsidP="00FA1525">
            <w:pPr>
              <w:jc w:val="center"/>
              <w:rPr>
                <w:rFonts w:cs="Open Sans"/>
                <w:color w:val="FF0000"/>
                <w:sz w:val="16"/>
                <w:szCs w:val="16"/>
              </w:rPr>
            </w:pPr>
            <w:r w:rsidRPr="001A7C70">
              <w:rPr>
                <w:rFonts w:cs="Open Sans"/>
                <w:color w:val="FF0000"/>
                <w:sz w:val="16"/>
                <w:szCs w:val="16"/>
              </w:rPr>
              <w:t>+23,6</w:t>
            </w:r>
          </w:p>
        </w:tc>
        <w:tc>
          <w:tcPr>
            <w:tcW w:w="1361" w:type="dxa"/>
            <w:vAlign w:val="center"/>
          </w:tcPr>
          <w:p w:rsidR="001A7C70" w:rsidRPr="001A7C70" w:rsidRDefault="001A7C70" w:rsidP="00FA1525">
            <w:pPr>
              <w:jc w:val="center"/>
              <w:rPr>
                <w:rFonts w:cs="Open Sans"/>
                <w:sz w:val="16"/>
                <w:szCs w:val="16"/>
              </w:rPr>
            </w:pPr>
            <w:r w:rsidRPr="001A7C70">
              <w:rPr>
                <w:rFonts w:cs="Open Sans"/>
                <w:sz w:val="16"/>
                <w:szCs w:val="16"/>
              </w:rPr>
              <w:t>5,3</w:t>
            </w:r>
          </w:p>
        </w:tc>
      </w:tr>
      <w:tr w:rsidR="001A7C70" w:rsidTr="001A7C70">
        <w:trPr>
          <w:trHeight w:val="397"/>
          <w:jc w:val="center"/>
        </w:trPr>
        <w:tc>
          <w:tcPr>
            <w:tcW w:w="2679" w:type="dxa"/>
            <w:shd w:val="clear" w:color="auto" w:fill="EAEAEA"/>
            <w:vAlign w:val="center"/>
          </w:tcPr>
          <w:p w:rsidR="001A7C70" w:rsidRPr="001A7C70" w:rsidRDefault="001A7C70" w:rsidP="00FA1525">
            <w:pPr>
              <w:rPr>
                <w:rFonts w:cs="Open Sans"/>
                <w:sz w:val="16"/>
                <w:szCs w:val="16"/>
              </w:rPr>
            </w:pPr>
            <w:r w:rsidRPr="001A7C70">
              <w:rPr>
                <w:rFonts w:cs="Open Sans"/>
                <w:sz w:val="16"/>
                <w:szCs w:val="16"/>
              </w:rPr>
              <w:t>Steiermark</w:t>
            </w:r>
          </w:p>
        </w:tc>
        <w:tc>
          <w:tcPr>
            <w:tcW w:w="1361" w:type="dxa"/>
            <w:shd w:val="clear" w:color="auto" w:fill="EAEAEA"/>
            <w:vAlign w:val="center"/>
          </w:tcPr>
          <w:p w:rsidR="001A7C70" w:rsidRPr="001A7C70" w:rsidRDefault="001A7C70" w:rsidP="00FA1525">
            <w:pPr>
              <w:jc w:val="center"/>
              <w:rPr>
                <w:rFonts w:cs="Open Sans"/>
                <w:sz w:val="16"/>
                <w:szCs w:val="16"/>
              </w:rPr>
            </w:pPr>
            <w:r w:rsidRPr="001A7C70">
              <w:rPr>
                <w:rFonts w:cs="Open Sans"/>
                <w:sz w:val="16"/>
                <w:szCs w:val="16"/>
              </w:rPr>
              <w:t>854</w:t>
            </w:r>
          </w:p>
        </w:tc>
        <w:tc>
          <w:tcPr>
            <w:tcW w:w="1361" w:type="dxa"/>
            <w:shd w:val="clear" w:color="auto" w:fill="EAEAEA"/>
            <w:vAlign w:val="center"/>
          </w:tcPr>
          <w:p w:rsidR="001A7C70" w:rsidRPr="001A7C70" w:rsidRDefault="001A7C70" w:rsidP="00FA1525">
            <w:pPr>
              <w:jc w:val="center"/>
              <w:rPr>
                <w:rFonts w:cs="Open Sans"/>
                <w:sz w:val="16"/>
                <w:szCs w:val="16"/>
              </w:rPr>
            </w:pPr>
            <w:r w:rsidRPr="001A7C70">
              <w:rPr>
                <w:rFonts w:cs="Open Sans"/>
                <w:sz w:val="16"/>
                <w:szCs w:val="16"/>
              </w:rPr>
              <w:t>884</w:t>
            </w:r>
          </w:p>
        </w:tc>
        <w:tc>
          <w:tcPr>
            <w:tcW w:w="1361" w:type="dxa"/>
            <w:shd w:val="clear" w:color="auto" w:fill="EAEAEA"/>
            <w:vAlign w:val="center"/>
          </w:tcPr>
          <w:p w:rsidR="001A7C70" w:rsidRPr="001A7C70" w:rsidRDefault="001A7C70" w:rsidP="00FA1525">
            <w:pPr>
              <w:jc w:val="center"/>
              <w:rPr>
                <w:rFonts w:cs="Open Sans"/>
                <w:color w:val="00B050"/>
                <w:sz w:val="16"/>
                <w:szCs w:val="16"/>
              </w:rPr>
            </w:pPr>
            <w:r w:rsidRPr="001A7C70">
              <w:rPr>
                <w:rFonts w:cs="Open Sans"/>
                <w:color w:val="00B050"/>
                <w:sz w:val="16"/>
                <w:szCs w:val="16"/>
              </w:rPr>
              <w:t>-30</w:t>
            </w:r>
          </w:p>
        </w:tc>
        <w:tc>
          <w:tcPr>
            <w:tcW w:w="1361" w:type="dxa"/>
            <w:shd w:val="clear" w:color="auto" w:fill="EAEAEA"/>
            <w:vAlign w:val="center"/>
          </w:tcPr>
          <w:p w:rsidR="001A7C70" w:rsidRPr="001A7C70" w:rsidRDefault="001A7C70" w:rsidP="00FA1525">
            <w:pPr>
              <w:jc w:val="center"/>
              <w:rPr>
                <w:rFonts w:cs="Open Sans"/>
                <w:color w:val="00B050"/>
                <w:sz w:val="16"/>
                <w:szCs w:val="16"/>
              </w:rPr>
            </w:pPr>
            <w:r w:rsidRPr="001A7C70">
              <w:rPr>
                <w:rFonts w:cs="Open Sans"/>
                <w:color w:val="00B050"/>
                <w:sz w:val="16"/>
                <w:szCs w:val="16"/>
              </w:rPr>
              <w:t>-3,4</w:t>
            </w:r>
          </w:p>
        </w:tc>
        <w:tc>
          <w:tcPr>
            <w:tcW w:w="1361" w:type="dxa"/>
            <w:shd w:val="clear" w:color="auto" w:fill="EAEAEA"/>
            <w:vAlign w:val="center"/>
          </w:tcPr>
          <w:p w:rsidR="001A7C70" w:rsidRPr="001A7C70" w:rsidRDefault="001A7C70" w:rsidP="00FA1525">
            <w:pPr>
              <w:jc w:val="center"/>
              <w:rPr>
                <w:rFonts w:cs="Open Sans"/>
                <w:sz w:val="16"/>
                <w:szCs w:val="16"/>
              </w:rPr>
            </w:pPr>
            <w:r w:rsidRPr="001A7C70">
              <w:rPr>
                <w:rFonts w:cs="Open Sans"/>
                <w:sz w:val="16"/>
                <w:szCs w:val="16"/>
              </w:rPr>
              <w:t>8,2</w:t>
            </w:r>
          </w:p>
        </w:tc>
      </w:tr>
      <w:tr w:rsidR="001A7C70" w:rsidTr="001A7C70">
        <w:trPr>
          <w:trHeight w:val="397"/>
          <w:jc w:val="center"/>
        </w:trPr>
        <w:tc>
          <w:tcPr>
            <w:tcW w:w="2679" w:type="dxa"/>
            <w:vAlign w:val="center"/>
          </w:tcPr>
          <w:p w:rsidR="001A7C70" w:rsidRPr="001A7C70" w:rsidRDefault="001A7C70" w:rsidP="00FA1525">
            <w:pPr>
              <w:rPr>
                <w:rFonts w:cs="Open Sans"/>
                <w:sz w:val="16"/>
                <w:szCs w:val="16"/>
              </w:rPr>
            </w:pPr>
            <w:r w:rsidRPr="001A7C70">
              <w:rPr>
                <w:rFonts w:cs="Open Sans"/>
                <w:sz w:val="16"/>
                <w:szCs w:val="16"/>
              </w:rPr>
              <w:t>Kärnten</w:t>
            </w:r>
          </w:p>
        </w:tc>
        <w:tc>
          <w:tcPr>
            <w:tcW w:w="1361" w:type="dxa"/>
            <w:vAlign w:val="center"/>
          </w:tcPr>
          <w:p w:rsidR="001A7C70" w:rsidRPr="001A7C70" w:rsidRDefault="001A7C70" w:rsidP="00FA1525">
            <w:pPr>
              <w:jc w:val="center"/>
              <w:rPr>
                <w:rFonts w:cs="Open Sans"/>
                <w:sz w:val="16"/>
                <w:szCs w:val="16"/>
              </w:rPr>
            </w:pPr>
            <w:r w:rsidRPr="001A7C70">
              <w:rPr>
                <w:rFonts w:cs="Open Sans"/>
                <w:sz w:val="16"/>
                <w:szCs w:val="16"/>
              </w:rPr>
              <w:t>526</w:t>
            </w:r>
          </w:p>
        </w:tc>
        <w:tc>
          <w:tcPr>
            <w:tcW w:w="1361" w:type="dxa"/>
            <w:vAlign w:val="center"/>
          </w:tcPr>
          <w:p w:rsidR="001A7C70" w:rsidRPr="001A7C70" w:rsidRDefault="001A7C70" w:rsidP="00FA1525">
            <w:pPr>
              <w:jc w:val="center"/>
              <w:rPr>
                <w:rFonts w:cs="Open Sans"/>
                <w:sz w:val="16"/>
                <w:szCs w:val="16"/>
              </w:rPr>
            </w:pPr>
            <w:r w:rsidRPr="001A7C70">
              <w:rPr>
                <w:rFonts w:cs="Open Sans"/>
                <w:sz w:val="16"/>
                <w:szCs w:val="16"/>
              </w:rPr>
              <w:t>445</w:t>
            </w:r>
          </w:p>
        </w:tc>
        <w:tc>
          <w:tcPr>
            <w:tcW w:w="1361" w:type="dxa"/>
            <w:vAlign w:val="center"/>
          </w:tcPr>
          <w:p w:rsidR="001A7C70" w:rsidRPr="001A7C70" w:rsidRDefault="001A7C70" w:rsidP="00FA1525">
            <w:pPr>
              <w:jc w:val="center"/>
              <w:rPr>
                <w:rFonts w:cs="Open Sans"/>
                <w:color w:val="FF0000"/>
                <w:sz w:val="16"/>
                <w:szCs w:val="16"/>
              </w:rPr>
            </w:pPr>
            <w:r w:rsidRPr="001A7C70">
              <w:rPr>
                <w:rFonts w:cs="Open Sans"/>
                <w:color w:val="FF0000"/>
                <w:sz w:val="16"/>
                <w:szCs w:val="16"/>
              </w:rPr>
              <w:t>+81</w:t>
            </w:r>
          </w:p>
        </w:tc>
        <w:tc>
          <w:tcPr>
            <w:tcW w:w="1361" w:type="dxa"/>
            <w:vAlign w:val="center"/>
          </w:tcPr>
          <w:p w:rsidR="001A7C70" w:rsidRPr="001A7C70" w:rsidRDefault="001A7C70" w:rsidP="00FA1525">
            <w:pPr>
              <w:jc w:val="center"/>
              <w:rPr>
                <w:rFonts w:cs="Open Sans"/>
                <w:color w:val="FF0000"/>
                <w:sz w:val="16"/>
                <w:szCs w:val="16"/>
              </w:rPr>
            </w:pPr>
            <w:r w:rsidRPr="001A7C70">
              <w:rPr>
                <w:rFonts w:cs="Open Sans"/>
                <w:color w:val="FF0000"/>
                <w:sz w:val="16"/>
                <w:szCs w:val="16"/>
              </w:rPr>
              <w:t>+18,2</w:t>
            </w:r>
          </w:p>
        </w:tc>
        <w:tc>
          <w:tcPr>
            <w:tcW w:w="1361" w:type="dxa"/>
            <w:vAlign w:val="center"/>
          </w:tcPr>
          <w:p w:rsidR="001A7C70" w:rsidRPr="001A7C70" w:rsidRDefault="001A7C70" w:rsidP="00FA1525">
            <w:pPr>
              <w:jc w:val="center"/>
              <w:rPr>
                <w:rFonts w:cs="Open Sans"/>
                <w:sz w:val="16"/>
                <w:szCs w:val="16"/>
              </w:rPr>
            </w:pPr>
            <w:r w:rsidRPr="001A7C70">
              <w:rPr>
                <w:rFonts w:cs="Open Sans"/>
                <w:sz w:val="16"/>
                <w:szCs w:val="16"/>
              </w:rPr>
              <w:t>11,2</w:t>
            </w:r>
          </w:p>
        </w:tc>
      </w:tr>
      <w:tr w:rsidR="001A7C70" w:rsidTr="001A7C70">
        <w:trPr>
          <w:trHeight w:val="397"/>
          <w:jc w:val="center"/>
        </w:trPr>
        <w:tc>
          <w:tcPr>
            <w:tcW w:w="2679" w:type="dxa"/>
            <w:shd w:val="clear" w:color="auto" w:fill="EAEAEA"/>
            <w:vAlign w:val="center"/>
          </w:tcPr>
          <w:p w:rsidR="001A7C70" w:rsidRPr="001A7C70" w:rsidRDefault="001A7C70" w:rsidP="00FA1525">
            <w:pPr>
              <w:rPr>
                <w:rFonts w:cs="Open Sans"/>
                <w:sz w:val="16"/>
                <w:szCs w:val="16"/>
              </w:rPr>
            </w:pPr>
            <w:r w:rsidRPr="001A7C70">
              <w:rPr>
                <w:rFonts w:cs="Open Sans"/>
                <w:sz w:val="16"/>
                <w:szCs w:val="16"/>
              </w:rPr>
              <w:t>Oberösterreich</w:t>
            </w:r>
          </w:p>
        </w:tc>
        <w:tc>
          <w:tcPr>
            <w:tcW w:w="1361" w:type="dxa"/>
            <w:shd w:val="clear" w:color="auto" w:fill="EAEAEA"/>
            <w:vAlign w:val="center"/>
          </w:tcPr>
          <w:p w:rsidR="001A7C70" w:rsidRPr="001A7C70" w:rsidRDefault="001A7C70" w:rsidP="00FA1525">
            <w:pPr>
              <w:jc w:val="center"/>
              <w:rPr>
                <w:rFonts w:cs="Open Sans"/>
                <w:sz w:val="16"/>
                <w:szCs w:val="16"/>
              </w:rPr>
            </w:pPr>
            <w:r w:rsidRPr="001A7C70">
              <w:rPr>
                <w:rFonts w:cs="Open Sans"/>
                <w:sz w:val="16"/>
                <w:szCs w:val="16"/>
              </w:rPr>
              <w:t>1.068</w:t>
            </w:r>
          </w:p>
        </w:tc>
        <w:tc>
          <w:tcPr>
            <w:tcW w:w="1361" w:type="dxa"/>
            <w:shd w:val="clear" w:color="auto" w:fill="EAEAEA"/>
            <w:vAlign w:val="center"/>
          </w:tcPr>
          <w:p w:rsidR="001A7C70" w:rsidRPr="001A7C70" w:rsidRDefault="001A7C70" w:rsidP="00FA1525">
            <w:pPr>
              <w:jc w:val="center"/>
              <w:rPr>
                <w:rFonts w:cs="Open Sans"/>
                <w:sz w:val="16"/>
                <w:szCs w:val="16"/>
              </w:rPr>
            </w:pPr>
            <w:r w:rsidRPr="001A7C70">
              <w:rPr>
                <w:rFonts w:cs="Open Sans"/>
                <w:sz w:val="16"/>
                <w:szCs w:val="16"/>
              </w:rPr>
              <w:t>972</w:t>
            </w:r>
          </w:p>
        </w:tc>
        <w:tc>
          <w:tcPr>
            <w:tcW w:w="1361" w:type="dxa"/>
            <w:shd w:val="clear" w:color="auto" w:fill="EAEAEA"/>
            <w:vAlign w:val="center"/>
          </w:tcPr>
          <w:p w:rsidR="001A7C70" w:rsidRPr="001A7C70" w:rsidRDefault="001A7C70" w:rsidP="00FA1525">
            <w:pPr>
              <w:jc w:val="center"/>
              <w:rPr>
                <w:rFonts w:cs="Open Sans"/>
                <w:color w:val="FF0000"/>
                <w:sz w:val="16"/>
                <w:szCs w:val="16"/>
              </w:rPr>
            </w:pPr>
            <w:r w:rsidRPr="001A7C70">
              <w:rPr>
                <w:rFonts w:cs="Open Sans"/>
                <w:color w:val="FF0000"/>
                <w:sz w:val="16"/>
                <w:szCs w:val="16"/>
              </w:rPr>
              <w:t>+96</w:t>
            </w:r>
          </w:p>
        </w:tc>
        <w:tc>
          <w:tcPr>
            <w:tcW w:w="1361" w:type="dxa"/>
            <w:shd w:val="clear" w:color="auto" w:fill="EAEAEA"/>
            <w:vAlign w:val="center"/>
          </w:tcPr>
          <w:p w:rsidR="001A7C70" w:rsidRPr="001A7C70" w:rsidRDefault="001A7C70" w:rsidP="00FA1525">
            <w:pPr>
              <w:jc w:val="center"/>
              <w:rPr>
                <w:rFonts w:cs="Open Sans"/>
                <w:color w:val="FF0000"/>
                <w:sz w:val="16"/>
                <w:szCs w:val="16"/>
              </w:rPr>
            </w:pPr>
            <w:r w:rsidRPr="001A7C70">
              <w:rPr>
                <w:rFonts w:cs="Open Sans"/>
                <w:color w:val="FF0000"/>
                <w:sz w:val="16"/>
                <w:szCs w:val="16"/>
              </w:rPr>
              <w:t>+9,9</w:t>
            </w:r>
          </w:p>
        </w:tc>
        <w:tc>
          <w:tcPr>
            <w:tcW w:w="1361" w:type="dxa"/>
            <w:shd w:val="clear" w:color="auto" w:fill="EAEAEA"/>
            <w:vAlign w:val="center"/>
          </w:tcPr>
          <w:p w:rsidR="001A7C70" w:rsidRPr="001A7C70" w:rsidRDefault="001A7C70" w:rsidP="00FA1525">
            <w:pPr>
              <w:jc w:val="center"/>
              <w:rPr>
                <w:rFonts w:cs="Open Sans"/>
                <w:sz w:val="16"/>
                <w:szCs w:val="16"/>
              </w:rPr>
            </w:pPr>
            <w:r w:rsidRPr="001A7C70">
              <w:rPr>
                <w:rFonts w:cs="Open Sans"/>
                <w:sz w:val="16"/>
                <w:szCs w:val="16"/>
              </w:rPr>
              <w:t>8,7</w:t>
            </w:r>
          </w:p>
        </w:tc>
      </w:tr>
      <w:tr w:rsidR="001A7C70" w:rsidTr="001A7C70">
        <w:trPr>
          <w:trHeight w:val="397"/>
          <w:jc w:val="center"/>
        </w:trPr>
        <w:tc>
          <w:tcPr>
            <w:tcW w:w="2679" w:type="dxa"/>
            <w:vAlign w:val="center"/>
          </w:tcPr>
          <w:p w:rsidR="001A7C70" w:rsidRPr="001A7C70" w:rsidRDefault="001A7C70" w:rsidP="00FA1525">
            <w:pPr>
              <w:rPr>
                <w:rFonts w:cs="Open Sans"/>
                <w:sz w:val="16"/>
                <w:szCs w:val="16"/>
              </w:rPr>
            </w:pPr>
            <w:r w:rsidRPr="001A7C70">
              <w:rPr>
                <w:rFonts w:cs="Open Sans"/>
                <w:sz w:val="16"/>
                <w:szCs w:val="16"/>
              </w:rPr>
              <w:t>Salzburg</w:t>
            </w:r>
          </w:p>
        </w:tc>
        <w:tc>
          <w:tcPr>
            <w:tcW w:w="1361" w:type="dxa"/>
            <w:vAlign w:val="center"/>
          </w:tcPr>
          <w:p w:rsidR="001A7C70" w:rsidRPr="001A7C70" w:rsidRDefault="001A7C70" w:rsidP="00FA1525">
            <w:pPr>
              <w:jc w:val="center"/>
              <w:rPr>
                <w:rFonts w:cs="Open Sans"/>
                <w:sz w:val="16"/>
                <w:szCs w:val="16"/>
              </w:rPr>
            </w:pPr>
            <w:r w:rsidRPr="001A7C70">
              <w:rPr>
                <w:rFonts w:cs="Open Sans"/>
                <w:sz w:val="16"/>
                <w:szCs w:val="16"/>
              </w:rPr>
              <w:t>329</w:t>
            </w:r>
          </w:p>
        </w:tc>
        <w:tc>
          <w:tcPr>
            <w:tcW w:w="1361" w:type="dxa"/>
            <w:vAlign w:val="center"/>
          </w:tcPr>
          <w:p w:rsidR="001A7C70" w:rsidRPr="001A7C70" w:rsidRDefault="001A7C70" w:rsidP="00FA1525">
            <w:pPr>
              <w:jc w:val="center"/>
              <w:rPr>
                <w:rFonts w:cs="Open Sans"/>
                <w:sz w:val="16"/>
                <w:szCs w:val="16"/>
              </w:rPr>
            </w:pPr>
            <w:r w:rsidRPr="001A7C70">
              <w:rPr>
                <w:rFonts w:cs="Open Sans"/>
                <w:sz w:val="16"/>
                <w:szCs w:val="16"/>
              </w:rPr>
              <w:t>290</w:t>
            </w:r>
          </w:p>
        </w:tc>
        <w:tc>
          <w:tcPr>
            <w:tcW w:w="1361" w:type="dxa"/>
            <w:vAlign w:val="center"/>
          </w:tcPr>
          <w:p w:rsidR="001A7C70" w:rsidRPr="001A7C70" w:rsidRDefault="001A7C70" w:rsidP="00FA1525">
            <w:pPr>
              <w:jc w:val="center"/>
              <w:rPr>
                <w:rFonts w:cs="Open Sans"/>
                <w:color w:val="FF0000"/>
                <w:sz w:val="16"/>
                <w:szCs w:val="16"/>
              </w:rPr>
            </w:pPr>
            <w:r w:rsidRPr="001A7C70">
              <w:rPr>
                <w:rFonts w:cs="Open Sans"/>
                <w:color w:val="FF0000"/>
                <w:sz w:val="16"/>
                <w:szCs w:val="16"/>
              </w:rPr>
              <w:t>+39</w:t>
            </w:r>
          </w:p>
        </w:tc>
        <w:tc>
          <w:tcPr>
            <w:tcW w:w="1361" w:type="dxa"/>
            <w:vAlign w:val="center"/>
          </w:tcPr>
          <w:p w:rsidR="001A7C70" w:rsidRPr="001A7C70" w:rsidRDefault="001A7C70" w:rsidP="00FA1525">
            <w:pPr>
              <w:jc w:val="center"/>
              <w:rPr>
                <w:rFonts w:cs="Open Sans"/>
                <w:color w:val="FF0000"/>
                <w:sz w:val="16"/>
                <w:szCs w:val="16"/>
              </w:rPr>
            </w:pPr>
            <w:r w:rsidRPr="001A7C70">
              <w:rPr>
                <w:rFonts w:cs="Open Sans"/>
                <w:color w:val="FF0000"/>
                <w:sz w:val="16"/>
                <w:szCs w:val="16"/>
              </w:rPr>
              <w:t>+13,4</w:t>
            </w:r>
          </w:p>
        </w:tc>
        <w:tc>
          <w:tcPr>
            <w:tcW w:w="1361" w:type="dxa"/>
            <w:vAlign w:val="center"/>
          </w:tcPr>
          <w:p w:rsidR="001A7C70" w:rsidRPr="001A7C70" w:rsidRDefault="001A7C70" w:rsidP="00FA1525">
            <w:pPr>
              <w:jc w:val="center"/>
              <w:rPr>
                <w:rFonts w:cs="Open Sans"/>
                <w:sz w:val="16"/>
                <w:szCs w:val="16"/>
              </w:rPr>
            </w:pPr>
            <w:r w:rsidRPr="001A7C70">
              <w:rPr>
                <w:rFonts w:cs="Open Sans"/>
                <w:sz w:val="16"/>
                <w:szCs w:val="16"/>
              </w:rPr>
              <w:t>7,1</w:t>
            </w:r>
          </w:p>
        </w:tc>
      </w:tr>
      <w:tr w:rsidR="001A7C70" w:rsidTr="001A7C70">
        <w:trPr>
          <w:trHeight w:val="397"/>
          <w:jc w:val="center"/>
        </w:trPr>
        <w:tc>
          <w:tcPr>
            <w:tcW w:w="2679" w:type="dxa"/>
            <w:shd w:val="clear" w:color="auto" w:fill="EAEAEA"/>
            <w:vAlign w:val="center"/>
          </w:tcPr>
          <w:p w:rsidR="001A7C70" w:rsidRPr="001A7C70" w:rsidRDefault="001A7C70" w:rsidP="00FA1525">
            <w:pPr>
              <w:rPr>
                <w:rFonts w:cs="Open Sans"/>
                <w:sz w:val="16"/>
                <w:szCs w:val="16"/>
              </w:rPr>
            </w:pPr>
            <w:r w:rsidRPr="001A7C70">
              <w:rPr>
                <w:rFonts w:cs="Open Sans"/>
                <w:sz w:val="16"/>
                <w:szCs w:val="16"/>
              </w:rPr>
              <w:t>Tirol</w:t>
            </w:r>
          </w:p>
        </w:tc>
        <w:tc>
          <w:tcPr>
            <w:tcW w:w="1361" w:type="dxa"/>
            <w:shd w:val="clear" w:color="auto" w:fill="EAEAEA"/>
            <w:vAlign w:val="center"/>
          </w:tcPr>
          <w:p w:rsidR="001A7C70" w:rsidRPr="001A7C70" w:rsidRDefault="001A7C70" w:rsidP="00FA1525">
            <w:pPr>
              <w:jc w:val="center"/>
              <w:rPr>
                <w:rFonts w:cs="Open Sans"/>
                <w:sz w:val="16"/>
                <w:szCs w:val="16"/>
              </w:rPr>
            </w:pPr>
            <w:r w:rsidRPr="001A7C70">
              <w:rPr>
                <w:rFonts w:cs="Open Sans"/>
                <w:sz w:val="16"/>
                <w:szCs w:val="16"/>
              </w:rPr>
              <w:t>541</w:t>
            </w:r>
          </w:p>
        </w:tc>
        <w:tc>
          <w:tcPr>
            <w:tcW w:w="1361" w:type="dxa"/>
            <w:shd w:val="clear" w:color="auto" w:fill="EAEAEA"/>
            <w:vAlign w:val="center"/>
          </w:tcPr>
          <w:p w:rsidR="001A7C70" w:rsidRPr="001A7C70" w:rsidRDefault="001A7C70" w:rsidP="00FA1525">
            <w:pPr>
              <w:jc w:val="center"/>
              <w:rPr>
                <w:rFonts w:cs="Open Sans"/>
                <w:sz w:val="16"/>
                <w:szCs w:val="16"/>
              </w:rPr>
            </w:pPr>
            <w:r w:rsidRPr="001A7C70">
              <w:rPr>
                <w:rFonts w:cs="Open Sans"/>
                <w:sz w:val="16"/>
                <w:szCs w:val="16"/>
              </w:rPr>
              <w:t>485</w:t>
            </w:r>
          </w:p>
        </w:tc>
        <w:tc>
          <w:tcPr>
            <w:tcW w:w="1361" w:type="dxa"/>
            <w:shd w:val="clear" w:color="auto" w:fill="EAEAEA"/>
            <w:vAlign w:val="center"/>
          </w:tcPr>
          <w:p w:rsidR="001A7C70" w:rsidRPr="001A7C70" w:rsidRDefault="001A7C70" w:rsidP="00FA1525">
            <w:pPr>
              <w:jc w:val="center"/>
              <w:rPr>
                <w:rFonts w:cs="Open Sans"/>
                <w:color w:val="FF0000"/>
                <w:sz w:val="16"/>
                <w:szCs w:val="16"/>
              </w:rPr>
            </w:pPr>
            <w:r w:rsidRPr="001A7C70">
              <w:rPr>
                <w:rFonts w:cs="Open Sans"/>
                <w:color w:val="FF0000"/>
                <w:sz w:val="16"/>
                <w:szCs w:val="16"/>
              </w:rPr>
              <w:t>+56</w:t>
            </w:r>
          </w:p>
        </w:tc>
        <w:tc>
          <w:tcPr>
            <w:tcW w:w="1361" w:type="dxa"/>
            <w:shd w:val="clear" w:color="auto" w:fill="EAEAEA"/>
            <w:vAlign w:val="center"/>
          </w:tcPr>
          <w:p w:rsidR="001A7C70" w:rsidRPr="001A7C70" w:rsidRDefault="001A7C70" w:rsidP="00FA1525">
            <w:pPr>
              <w:jc w:val="center"/>
              <w:rPr>
                <w:rFonts w:cs="Open Sans"/>
                <w:color w:val="FF0000"/>
                <w:sz w:val="16"/>
                <w:szCs w:val="16"/>
              </w:rPr>
            </w:pPr>
            <w:r w:rsidRPr="001A7C70">
              <w:rPr>
                <w:rFonts w:cs="Open Sans"/>
                <w:color w:val="FF0000"/>
                <w:sz w:val="16"/>
                <w:szCs w:val="16"/>
              </w:rPr>
              <w:t>+11,5</w:t>
            </w:r>
          </w:p>
        </w:tc>
        <w:tc>
          <w:tcPr>
            <w:tcW w:w="1361" w:type="dxa"/>
            <w:shd w:val="clear" w:color="auto" w:fill="EAEAEA"/>
            <w:vAlign w:val="center"/>
          </w:tcPr>
          <w:p w:rsidR="001A7C70" w:rsidRPr="001A7C70" w:rsidRDefault="001A7C70" w:rsidP="00FA1525">
            <w:pPr>
              <w:jc w:val="center"/>
              <w:rPr>
                <w:rFonts w:cs="Open Sans"/>
                <w:sz w:val="16"/>
                <w:szCs w:val="16"/>
              </w:rPr>
            </w:pPr>
            <w:r w:rsidRPr="001A7C70">
              <w:rPr>
                <w:rFonts w:cs="Open Sans"/>
                <w:sz w:val="16"/>
                <w:szCs w:val="16"/>
              </w:rPr>
              <w:t>8,6</w:t>
            </w:r>
          </w:p>
        </w:tc>
      </w:tr>
      <w:tr w:rsidR="001A7C70" w:rsidTr="001A7C70">
        <w:trPr>
          <w:trHeight w:val="397"/>
          <w:jc w:val="center"/>
        </w:trPr>
        <w:tc>
          <w:tcPr>
            <w:tcW w:w="2679" w:type="dxa"/>
            <w:vAlign w:val="center"/>
          </w:tcPr>
          <w:p w:rsidR="001A7C70" w:rsidRPr="001A7C70" w:rsidRDefault="001A7C70" w:rsidP="00FA1525">
            <w:pPr>
              <w:rPr>
                <w:rFonts w:cs="Open Sans"/>
                <w:sz w:val="16"/>
                <w:szCs w:val="16"/>
              </w:rPr>
            </w:pPr>
            <w:r w:rsidRPr="001A7C70">
              <w:rPr>
                <w:rFonts w:cs="Open Sans"/>
                <w:sz w:val="16"/>
                <w:szCs w:val="16"/>
              </w:rPr>
              <w:t>Vorarlberg</w:t>
            </w:r>
          </w:p>
        </w:tc>
        <w:tc>
          <w:tcPr>
            <w:tcW w:w="1361" w:type="dxa"/>
            <w:vAlign w:val="center"/>
          </w:tcPr>
          <w:p w:rsidR="001A7C70" w:rsidRPr="001A7C70" w:rsidRDefault="001A7C70" w:rsidP="00FA1525">
            <w:pPr>
              <w:jc w:val="center"/>
              <w:rPr>
                <w:rFonts w:cs="Open Sans"/>
                <w:sz w:val="16"/>
                <w:szCs w:val="16"/>
              </w:rPr>
            </w:pPr>
            <w:r w:rsidRPr="001A7C70">
              <w:rPr>
                <w:rFonts w:cs="Open Sans"/>
                <w:sz w:val="16"/>
                <w:szCs w:val="16"/>
              </w:rPr>
              <w:t>393</w:t>
            </w:r>
          </w:p>
        </w:tc>
        <w:tc>
          <w:tcPr>
            <w:tcW w:w="1361" w:type="dxa"/>
            <w:vAlign w:val="center"/>
          </w:tcPr>
          <w:p w:rsidR="001A7C70" w:rsidRPr="001A7C70" w:rsidRDefault="001A7C70" w:rsidP="00FA1525">
            <w:pPr>
              <w:jc w:val="center"/>
              <w:rPr>
                <w:rFonts w:cs="Open Sans"/>
                <w:sz w:val="16"/>
                <w:szCs w:val="16"/>
              </w:rPr>
            </w:pPr>
            <w:r w:rsidRPr="001A7C70">
              <w:rPr>
                <w:rFonts w:cs="Open Sans"/>
                <w:sz w:val="16"/>
                <w:szCs w:val="16"/>
              </w:rPr>
              <w:t>285</w:t>
            </w:r>
          </w:p>
        </w:tc>
        <w:tc>
          <w:tcPr>
            <w:tcW w:w="1361" w:type="dxa"/>
            <w:vAlign w:val="center"/>
          </w:tcPr>
          <w:p w:rsidR="001A7C70" w:rsidRPr="001A7C70" w:rsidRDefault="001A7C70" w:rsidP="00FA1525">
            <w:pPr>
              <w:jc w:val="center"/>
              <w:rPr>
                <w:rFonts w:cs="Open Sans"/>
                <w:color w:val="FF0000"/>
                <w:sz w:val="16"/>
                <w:szCs w:val="16"/>
              </w:rPr>
            </w:pPr>
            <w:r w:rsidRPr="001A7C70">
              <w:rPr>
                <w:rFonts w:cs="Open Sans"/>
                <w:color w:val="FF0000"/>
                <w:sz w:val="16"/>
                <w:szCs w:val="16"/>
              </w:rPr>
              <w:t>+108</w:t>
            </w:r>
          </w:p>
        </w:tc>
        <w:tc>
          <w:tcPr>
            <w:tcW w:w="1361" w:type="dxa"/>
            <w:vAlign w:val="center"/>
          </w:tcPr>
          <w:p w:rsidR="001A7C70" w:rsidRPr="001A7C70" w:rsidRDefault="001A7C70" w:rsidP="00FA1525">
            <w:pPr>
              <w:jc w:val="center"/>
              <w:rPr>
                <w:rFonts w:cs="Open Sans"/>
                <w:color w:val="FF0000"/>
                <w:sz w:val="16"/>
                <w:szCs w:val="16"/>
              </w:rPr>
            </w:pPr>
            <w:r w:rsidRPr="001A7C70">
              <w:rPr>
                <w:rFonts w:cs="Open Sans"/>
                <w:color w:val="FF0000"/>
                <w:sz w:val="16"/>
                <w:szCs w:val="16"/>
              </w:rPr>
              <w:t>+37,9</w:t>
            </w:r>
          </w:p>
        </w:tc>
        <w:tc>
          <w:tcPr>
            <w:tcW w:w="1361" w:type="dxa"/>
            <w:vAlign w:val="center"/>
          </w:tcPr>
          <w:p w:rsidR="001A7C70" w:rsidRPr="001A7C70" w:rsidRDefault="001A7C70" w:rsidP="00FA1525">
            <w:pPr>
              <w:jc w:val="center"/>
              <w:rPr>
                <w:rFonts w:cs="Open Sans"/>
                <w:sz w:val="16"/>
                <w:szCs w:val="16"/>
              </w:rPr>
            </w:pPr>
            <w:r w:rsidRPr="001A7C70">
              <w:rPr>
                <w:rFonts w:cs="Open Sans"/>
                <w:sz w:val="16"/>
                <w:szCs w:val="16"/>
              </w:rPr>
              <w:t>12,2</w:t>
            </w:r>
          </w:p>
        </w:tc>
      </w:tr>
      <w:tr w:rsidR="001A7C70" w:rsidTr="001A7C70">
        <w:trPr>
          <w:trHeight w:val="397"/>
          <w:jc w:val="center"/>
        </w:trPr>
        <w:tc>
          <w:tcPr>
            <w:tcW w:w="2679" w:type="dxa"/>
            <w:shd w:val="clear" w:color="auto" w:fill="EAEAEA"/>
            <w:vAlign w:val="center"/>
          </w:tcPr>
          <w:p w:rsidR="001A7C70" w:rsidRPr="001A7C70" w:rsidRDefault="001A7C70" w:rsidP="00FA1525">
            <w:pPr>
              <w:rPr>
                <w:rFonts w:cs="Open Sans"/>
                <w:b/>
                <w:bCs/>
                <w:sz w:val="16"/>
                <w:szCs w:val="16"/>
              </w:rPr>
            </w:pPr>
            <w:r w:rsidRPr="001A7C70">
              <w:rPr>
                <w:rFonts w:cs="Open Sans"/>
                <w:b/>
                <w:bCs/>
                <w:sz w:val="16"/>
                <w:szCs w:val="16"/>
              </w:rPr>
              <w:t>Gesamt</w:t>
            </w:r>
          </w:p>
        </w:tc>
        <w:tc>
          <w:tcPr>
            <w:tcW w:w="1361" w:type="dxa"/>
            <w:shd w:val="clear" w:color="auto" w:fill="EAEAEA"/>
            <w:vAlign w:val="center"/>
          </w:tcPr>
          <w:p w:rsidR="001A7C70" w:rsidRPr="001A7C70" w:rsidRDefault="001A7C70" w:rsidP="00FA1525">
            <w:pPr>
              <w:jc w:val="center"/>
              <w:rPr>
                <w:rFonts w:cs="Open Sans"/>
                <w:b/>
                <w:bCs/>
                <w:sz w:val="16"/>
                <w:szCs w:val="16"/>
              </w:rPr>
            </w:pPr>
            <w:r w:rsidRPr="001A7C70">
              <w:rPr>
                <w:rFonts w:cs="Open Sans"/>
                <w:b/>
                <w:bCs/>
                <w:sz w:val="16"/>
                <w:szCs w:val="16"/>
              </w:rPr>
              <w:t>7.305</w:t>
            </w:r>
          </w:p>
        </w:tc>
        <w:tc>
          <w:tcPr>
            <w:tcW w:w="1361" w:type="dxa"/>
            <w:shd w:val="clear" w:color="auto" w:fill="EAEAEA"/>
            <w:vAlign w:val="center"/>
          </w:tcPr>
          <w:p w:rsidR="001A7C70" w:rsidRPr="001A7C70" w:rsidRDefault="001A7C70" w:rsidP="00FA1525">
            <w:pPr>
              <w:jc w:val="center"/>
              <w:rPr>
                <w:rFonts w:cs="Open Sans"/>
                <w:b/>
                <w:bCs/>
                <w:sz w:val="16"/>
                <w:szCs w:val="16"/>
              </w:rPr>
            </w:pPr>
            <w:r w:rsidRPr="001A7C70">
              <w:rPr>
                <w:rFonts w:cs="Open Sans"/>
                <w:b/>
                <w:bCs/>
                <w:sz w:val="16"/>
                <w:szCs w:val="16"/>
              </w:rPr>
              <w:t>6.753</w:t>
            </w:r>
          </w:p>
        </w:tc>
        <w:tc>
          <w:tcPr>
            <w:tcW w:w="1361" w:type="dxa"/>
            <w:shd w:val="clear" w:color="auto" w:fill="EAEAEA"/>
            <w:vAlign w:val="center"/>
          </w:tcPr>
          <w:p w:rsidR="001A7C70" w:rsidRPr="001A7C70" w:rsidRDefault="001A7C70" w:rsidP="00FA1525">
            <w:pPr>
              <w:jc w:val="center"/>
              <w:rPr>
                <w:rFonts w:cs="Open Sans"/>
                <w:b/>
                <w:bCs/>
                <w:color w:val="FF0000"/>
                <w:sz w:val="16"/>
                <w:szCs w:val="16"/>
              </w:rPr>
            </w:pPr>
            <w:r w:rsidRPr="001A7C70">
              <w:rPr>
                <w:rFonts w:cs="Open Sans"/>
                <w:b/>
                <w:bCs/>
                <w:color w:val="FF0000"/>
                <w:sz w:val="16"/>
                <w:szCs w:val="16"/>
              </w:rPr>
              <w:t>+552</w:t>
            </w:r>
          </w:p>
        </w:tc>
        <w:tc>
          <w:tcPr>
            <w:tcW w:w="1361" w:type="dxa"/>
            <w:shd w:val="clear" w:color="auto" w:fill="EAEAEA"/>
            <w:vAlign w:val="center"/>
          </w:tcPr>
          <w:p w:rsidR="001A7C70" w:rsidRPr="001A7C70" w:rsidRDefault="001A7C70" w:rsidP="00FA1525">
            <w:pPr>
              <w:jc w:val="center"/>
              <w:rPr>
                <w:rFonts w:cs="Open Sans"/>
                <w:b/>
                <w:bCs/>
                <w:color w:val="FF0000"/>
                <w:sz w:val="16"/>
                <w:szCs w:val="16"/>
              </w:rPr>
            </w:pPr>
            <w:r w:rsidRPr="001A7C70">
              <w:rPr>
                <w:rFonts w:cs="Open Sans"/>
                <w:b/>
                <w:bCs/>
                <w:color w:val="FF0000"/>
                <w:sz w:val="16"/>
                <w:szCs w:val="16"/>
              </w:rPr>
              <w:t>+8,2</w:t>
            </w:r>
          </w:p>
        </w:tc>
        <w:tc>
          <w:tcPr>
            <w:tcW w:w="1361" w:type="dxa"/>
            <w:shd w:val="clear" w:color="auto" w:fill="EAEAEA"/>
            <w:vAlign w:val="center"/>
          </w:tcPr>
          <w:p w:rsidR="001A7C70" w:rsidRPr="001A7C70" w:rsidRDefault="001A7C70" w:rsidP="00FA1525">
            <w:pPr>
              <w:jc w:val="center"/>
              <w:rPr>
                <w:rFonts w:cs="Open Sans"/>
                <w:b/>
                <w:bCs/>
                <w:sz w:val="16"/>
                <w:szCs w:val="16"/>
              </w:rPr>
            </w:pPr>
            <w:r w:rsidRPr="001A7C70">
              <w:rPr>
                <w:rFonts w:cs="Open Sans"/>
                <w:b/>
                <w:bCs/>
                <w:sz w:val="16"/>
                <w:szCs w:val="16"/>
              </w:rPr>
              <w:t>9,9</w:t>
            </w:r>
          </w:p>
        </w:tc>
      </w:tr>
    </w:tbl>
    <w:p w:rsidR="001A7C70" w:rsidRPr="001A7C70" w:rsidRDefault="001A7C70" w:rsidP="001A7C70">
      <w:pPr>
        <w:rPr>
          <w:sz w:val="22"/>
          <w:szCs w:val="22"/>
        </w:rPr>
      </w:pPr>
    </w:p>
    <w:p w:rsidR="001A7C70" w:rsidRPr="001A7C70" w:rsidRDefault="001A7C70" w:rsidP="001A7C70">
      <w:pPr>
        <w:rPr>
          <w:b/>
          <w:sz w:val="22"/>
          <w:szCs w:val="22"/>
        </w:rPr>
      </w:pPr>
      <w:r w:rsidRPr="001A7C70">
        <w:rPr>
          <w:b/>
          <w:sz w:val="22"/>
          <w:szCs w:val="22"/>
        </w:rPr>
        <w:t>Conclusio und Ausblick 2023</w:t>
      </w:r>
    </w:p>
    <w:p w:rsidR="001A7C70" w:rsidRPr="001A7C70" w:rsidRDefault="001A7C70" w:rsidP="001A7C70">
      <w:pPr>
        <w:rPr>
          <w:sz w:val="22"/>
          <w:szCs w:val="22"/>
        </w:rPr>
      </w:pPr>
      <w:r w:rsidRPr="001A7C70">
        <w:rPr>
          <w:sz w:val="22"/>
          <w:szCs w:val="22"/>
        </w:rPr>
        <w:t xml:space="preserve">Wie prognostiziert, wird in diesem Jahr das Vor-Pandemie-Niveau bei den Privatinsolvenzen knapp nicht erreicht werden. Der dank Fachkräftemangel robuste Arbeitsmarkt, hohe Lohnabschlüsse und diverse staatliche Unterstützungen (z.B. Abschaffung der kalten Progression) sorgen dafür, dass trotz der Teuerung die Zahl der überschuldeten und zahlungsunfähigen Österreicherinnen und Österreicher recht moderat wächst. </w:t>
      </w:r>
    </w:p>
    <w:p w:rsidR="001A7C70" w:rsidRPr="001A7C70" w:rsidRDefault="001A7C70" w:rsidP="001A7C70">
      <w:pPr>
        <w:rPr>
          <w:sz w:val="22"/>
          <w:szCs w:val="22"/>
        </w:rPr>
      </w:pPr>
      <w:r w:rsidRPr="001A7C70">
        <w:rPr>
          <w:sz w:val="22"/>
          <w:szCs w:val="22"/>
        </w:rPr>
        <w:t>Trotz einsetzender Rezession ist auch für das kommende Jahr 2024 nicht mit einer Insolvenzwelle bei den Privaten zu rechnen, wenn gleich das Ausmaß von 2019 in Höhe von rund 10.000 Insolvenzen erreicht werden wird.</w:t>
      </w:r>
    </w:p>
    <w:p w:rsidR="001A7C70" w:rsidRDefault="001A7C70" w:rsidP="009531F1">
      <w:pPr>
        <w:rPr>
          <w:sz w:val="22"/>
          <w:szCs w:val="22"/>
        </w:rPr>
      </w:pPr>
    </w:p>
    <w:p w:rsidR="003504CD" w:rsidRPr="0028285C" w:rsidRDefault="003504CD" w:rsidP="009531F1">
      <w:pPr>
        <w:rPr>
          <w:sz w:val="22"/>
          <w:szCs w:val="22"/>
        </w:rPr>
      </w:pPr>
      <w:r w:rsidRPr="0028285C">
        <w:rPr>
          <w:sz w:val="22"/>
          <w:szCs w:val="22"/>
        </w:rPr>
        <w:t>Für den Inhalt verantwortlich, Rückfragehinweis und Insolvenzstatistik:</w:t>
      </w:r>
    </w:p>
    <w:p w:rsidR="003504CD" w:rsidRPr="0028285C" w:rsidRDefault="003504CD" w:rsidP="00DE31E2">
      <w:pPr>
        <w:rPr>
          <w:sz w:val="22"/>
          <w:szCs w:val="22"/>
        </w:rPr>
      </w:pPr>
      <w:r w:rsidRPr="0028285C">
        <w:rPr>
          <w:sz w:val="22"/>
          <w:szCs w:val="22"/>
        </w:rPr>
        <w:t>Mag. Gerhard M. Weinhofer, Geschäftsführer</w:t>
      </w:r>
    </w:p>
    <w:p w:rsidR="003504CD" w:rsidRPr="0028285C" w:rsidRDefault="003504CD" w:rsidP="00DE31E2">
      <w:pPr>
        <w:rPr>
          <w:sz w:val="22"/>
          <w:szCs w:val="22"/>
        </w:rPr>
      </w:pPr>
      <w:r w:rsidRPr="0028285C">
        <w:rPr>
          <w:sz w:val="22"/>
          <w:szCs w:val="22"/>
        </w:rPr>
        <w:lastRenderedPageBreak/>
        <w:t>Österreichischer Verband Creditreform</w:t>
      </w:r>
    </w:p>
    <w:p w:rsidR="00C0376C" w:rsidRDefault="003504CD" w:rsidP="00DE31E2">
      <w:pPr>
        <w:rPr>
          <w:sz w:val="22"/>
          <w:szCs w:val="22"/>
        </w:rPr>
      </w:pPr>
      <w:r w:rsidRPr="0028285C">
        <w:rPr>
          <w:sz w:val="22"/>
          <w:szCs w:val="22"/>
        </w:rPr>
        <w:t>Tel.: +43-1-218 62 20-551</w:t>
      </w:r>
    </w:p>
    <w:p w:rsidR="003504CD" w:rsidRPr="0028285C" w:rsidRDefault="00053E21" w:rsidP="00DE31E2">
      <w:pPr>
        <w:rPr>
          <w:rStyle w:val="Hyperlink"/>
          <w:sz w:val="22"/>
          <w:szCs w:val="22"/>
        </w:rPr>
      </w:pPr>
      <w:hyperlink r:id="rId8" w:tooltip="mailto:g.weinhofer@wien.creditreform.at" w:history="1">
        <w:r w:rsidR="003504CD" w:rsidRPr="0028285C">
          <w:rPr>
            <w:rStyle w:val="Hyperlink"/>
            <w:sz w:val="22"/>
            <w:szCs w:val="22"/>
          </w:rPr>
          <w:t>g.weinhofer@wien.creditreform.at</w:t>
        </w:r>
      </w:hyperlink>
    </w:p>
    <w:sectPr w:rsidR="003504CD" w:rsidRPr="0028285C" w:rsidSect="00D805B6">
      <w:headerReference w:type="default" r:id="rId9"/>
      <w:footerReference w:type="even" r:id="rId10"/>
      <w:footerReference w:type="default" r:id="rId11"/>
      <w:footerReference w:type="first" r:id="rId12"/>
      <w:pgSz w:w="11907" w:h="16840" w:code="9"/>
      <w:pgMar w:top="1985" w:right="1247" w:bottom="426" w:left="1247" w:header="56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E21" w:rsidRDefault="00053E21">
      <w:r>
        <w:separator/>
      </w:r>
    </w:p>
  </w:endnote>
  <w:endnote w:type="continuationSeparator" w:id="0">
    <w:p w:rsidR="00053E21" w:rsidRDefault="00053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 Sans">
    <w:panose1 w:val="020B08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0AE" w:rsidRDefault="00D700AE" w:rsidP="00D3560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D700AE" w:rsidRDefault="00D700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473234"/>
      <w:docPartObj>
        <w:docPartGallery w:val="Page Numbers (Bottom of Page)"/>
        <w:docPartUnique/>
      </w:docPartObj>
    </w:sdtPr>
    <w:sdtEndPr/>
    <w:sdtContent>
      <w:p w:rsidR="00855E0C" w:rsidRDefault="00855E0C">
        <w:pPr>
          <w:pStyle w:val="Fuzeile"/>
          <w:jc w:val="center"/>
        </w:pPr>
        <w:r>
          <w:fldChar w:fldCharType="begin"/>
        </w:r>
        <w:r>
          <w:instrText>PAGE   \* MERGEFORMAT</w:instrText>
        </w:r>
        <w:r>
          <w:fldChar w:fldCharType="separate"/>
        </w:r>
        <w:r w:rsidR="009A4F08">
          <w:rPr>
            <w:noProof/>
          </w:rPr>
          <w:t>3</w:t>
        </w:r>
        <w:r>
          <w:fldChar w:fldCharType="end"/>
        </w:r>
      </w:p>
    </w:sdtContent>
  </w:sdt>
  <w:p w:rsidR="00D700AE" w:rsidRDefault="00D700AE">
    <w:pPr>
      <w:pStyle w:val="Fuzeile"/>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0AE" w:rsidRDefault="00D700AE">
    <w:pPr>
      <w:pStyle w:val="Fuzeile"/>
      <w:tabs>
        <w:tab w:val="left" w:pos="6096"/>
      </w:tabs>
      <w:rPr>
        <w:rFonts w:ascii="Gill Sans MT" w:hAnsi="Gill Sans MT"/>
        <w:b/>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E21" w:rsidRDefault="00053E21">
      <w:r>
        <w:separator/>
      </w:r>
    </w:p>
  </w:footnote>
  <w:footnote w:type="continuationSeparator" w:id="0">
    <w:p w:rsidR="00053E21" w:rsidRDefault="00053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255" w:rsidRDefault="00917255" w:rsidP="00807D5E">
    <w:pPr>
      <w:pStyle w:val="Kopfzeile"/>
      <w:ind w:right="-85"/>
      <w:jc w:val="right"/>
    </w:pPr>
    <w:r>
      <w:rPr>
        <w:rFonts w:ascii="Gill Sans MT" w:hAnsi="Gill Sans MT"/>
        <w:noProof/>
        <w:lang w:val="de-AT" w:eastAsia="de-AT"/>
      </w:rPr>
      <w:drawing>
        <wp:inline distT="0" distB="0" distL="0" distR="0" wp14:anchorId="234E5837" wp14:editId="0F9AF4EC">
          <wp:extent cx="2467610" cy="665480"/>
          <wp:effectExtent l="0" t="0" r="8890" b="1270"/>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fo-Logo_blue_klein"/>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67610" cy="6654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57684"/>
    <w:multiLevelType w:val="hybridMultilevel"/>
    <w:tmpl w:val="C71857FC"/>
    <w:lvl w:ilvl="0" w:tplc="CBD2C4F6">
      <w:start w:val="1"/>
      <w:numFmt w:val="decimal"/>
      <w:lvlText w:val="%1."/>
      <w:lvlJc w:val="left"/>
      <w:pPr>
        <w:tabs>
          <w:tab w:val="num" w:pos="765"/>
        </w:tabs>
        <w:ind w:left="765" w:hanging="4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209"/>
    <w:rsid w:val="0000499F"/>
    <w:rsid w:val="0002375B"/>
    <w:rsid w:val="0004645B"/>
    <w:rsid w:val="00053E21"/>
    <w:rsid w:val="0005460E"/>
    <w:rsid w:val="00057B24"/>
    <w:rsid w:val="00062015"/>
    <w:rsid w:val="00093C67"/>
    <w:rsid w:val="000A2E10"/>
    <w:rsid w:val="000A344B"/>
    <w:rsid w:val="000C2804"/>
    <w:rsid w:val="000D6B8C"/>
    <w:rsid w:val="000E1829"/>
    <w:rsid w:val="001200DA"/>
    <w:rsid w:val="0013076B"/>
    <w:rsid w:val="00134EC8"/>
    <w:rsid w:val="00154B81"/>
    <w:rsid w:val="00156209"/>
    <w:rsid w:val="0016300E"/>
    <w:rsid w:val="00173F83"/>
    <w:rsid w:val="00185DF8"/>
    <w:rsid w:val="00186FA9"/>
    <w:rsid w:val="001963A0"/>
    <w:rsid w:val="001A2646"/>
    <w:rsid w:val="001A709A"/>
    <w:rsid w:val="001A7C70"/>
    <w:rsid w:val="001B4604"/>
    <w:rsid w:val="001D7D97"/>
    <w:rsid w:val="002000DE"/>
    <w:rsid w:val="00227B32"/>
    <w:rsid w:val="00263C75"/>
    <w:rsid w:val="00266223"/>
    <w:rsid w:val="00274367"/>
    <w:rsid w:val="00281B5D"/>
    <w:rsid w:val="0028202E"/>
    <w:rsid w:val="0028285C"/>
    <w:rsid w:val="002A2C75"/>
    <w:rsid w:val="002B20ED"/>
    <w:rsid w:val="002C145C"/>
    <w:rsid w:val="002D5B09"/>
    <w:rsid w:val="002D7128"/>
    <w:rsid w:val="002F66AE"/>
    <w:rsid w:val="0031244F"/>
    <w:rsid w:val="00314C15"/>
    <w:rsid w:val="00316DF3"/>
    <w:rsid w:val="0031761D"/>
    <w:rsid w:val="00332A26"/>
    <w:rsid w:val="003504CD"/>
    <w:rsid w:val="003649C5"/>
    <w:rsid w:val="0037108F"/>
    <w:rsid w:val="00380063"/>
    <w:rsid w:val="00394C20"/>
    <w:rsid w:val="003B5557"/>
    <w:rsid w:val="00413D9F"/>
    <w:rsid w:val="00420486"/>
    <w:rsid w:val="00421BAE"/>
    <w:rsid w:val="0044304A"/>
    <w:rsid w:val="004535DD"/>
    <w:rsid w:val="00464173"/>
    <w:rsid w:val="004708C3"/>
    <w:rsid w:val="00482439"/>
    <w:rsid w:val="00487115"/>
    <w:rsid w:val="004919C1"/>
    <w:rsid w:val="004A5A8D"/>
    <w:rsid w:val="004B3E51"/>
    <w:rsid w:val="004C12D7"/>
    <w:rsid w:val="004C2411"/>
    <w:rsid w:val="004D104D"/>
    <w:rsid w:val="004F7D7D"/>
    <w:rsid w:val="0052619D"/>
    <w:rsid w:val="00537EA5"/>
    <w:rsid w:val="00540898"/>
    <w:rsid w:val="005601FB"/>
    <w:rsid w:val="0058017E"/>
    <w:rsid w:val="00594B05"/>
    <w:rsid w:val="005F6785"/>
    <w:rsid w:val="0060380D"/>
    <w:rsid w:val="00605817"/>
    <w:rsid w:val="00613EB6"/>
    <w:rsid w:val="006612D4"/>
    <w:rsid w:val="00662019"/>
    <w:rsid w:val="006768BD"/>
    <w:rsid w:val="006814BA"/>
    <w:rsid w:val="0069130C"/>
    <w:rsid w:val="006A1EA5"/>
    <w:rsid w:val="006A4F3A"/>
    <w:rsid w:val="006B0DFA"/>
    <w:rsid w:val="006B0ED3"/>
    <w:rsid w:val="006B1A8A"/>
    <w:rsid w:val="006B714C"/>
    <w:rsid w:val="006B7638"/>
    <w:rsid w:val="006C08F4"/>
    <w:rsid w:val="006C7031"/>
    <w:rsid w:val="006D0341"/>
    <w:rsid w:val="006D0D1C"/>
    <w:rsid w:val="006D636D"/>
    <w:rsid w:val="006E095C"/>
    <w:rsid w:val="006F354D"/>
    <w:rsid w:val="00705F63"/>
    <w:rsid w:val="00706346"/>
    <w:rsid w:val="0073200A"/>
    <w:rsid w:val="007475F8"/>
    <w:rsid w:val="0076147E"/>
    <w:rsid w:val="00767FA7"/>
    <w:rsid w:val="00780257"/>
    <w:rsid w:val="007B49F5"/>
    <w:rsid w:val="007D6805"/>
    <w:rsid w:val="007F5F95"/>
    <w:rsid w:val="00805593"/>
    <w:rsid w:val="00807979"/>
    <w:rsid w:val="00807D5E"/>
    <w:rsid w:val="00824026"/>
    <w:rsid w:val="00843738"/>
    <w:rsid w:val="0085421D"/>
    <w:rsid w:val="00855E0C"/>
    <w:rsid w:val="00860965"/>
    <w:rsid w:val="00861517"/>
    <w:rsid w:val="00870547"/>
    <w:rsid w:val="008721BC"/>
    <w:rsid w:val="0088598C"/>
    <w:rsid w:val="008A0475"/>
    <w:rsid w:val="008B2A91"/>
    <w:rsid w:val="008C0634"/>
    <w:rsid w:val="008D15AF"/>
    <w:rsid w:val="008F4307"/>
    <w:rsid w:val="00916599"/>
    <w:rsid w:val="00917255"/>
    <w:rsid w:val="009531F1"/>
    <w:rsid w:val="00963FD3"/>
    <w:rsid w:val="00965ABA"/>
    <w:rsid w:val="00977A51"/>
    <w:rsid w:val="00993E3F"/>
    <w:rsid w:val="009A41AA"/>
    <w:rsid w:val="009A4F08"/>
    <w:rsid w:val="009C69E9"/>
    <w:rsid w:val="009C6C4E"/>
    <w:rsid w:val="009C7A5B"/>
    <w:rsid w:val="009D6D6B"/>
    <w:rsid w:val="009E1D12"/>
    <w:rsid w:val="00A335EB"/>
    <w:rsid w:val="00A6190D"/>
    <w:rsid w:val="00A70E8B"/>
    <w:rsid w:val="00A87C8D"/>
    <w:rsid w:val="00AC0FD5"/>
    <w:rsid w:val="00AE7D26"/>
    <w:rsid w:val="00AF7134"/>
    <w:rsid w:val="00B07038"/>
    <w:rsid w:val="00B1127F"/>
    <w:rsid w:val="00B164F9"/>
    <w:rsid w:val="00B22DD6"/>
    <w:rsid w:val="00B240A2"/>
    <w:rsid w:val="00B378DD"/>
    <w:rsid w:val="00B42AEB"/>
    <w:rsid w:val="00B5255A"/>
    <w:rsid w:val="00B55A64"/>
    <w:rsid w:val="00B769F1"/>
    <w:rsid w:val="00B85604"/>
    <w:rsid w:val="00B94644"/>
    <w:rsid w:val="00BA77FF"/>
    <w:rsid w:val="00BB5CE8"/>
    <w:rsid w:val="00BF2BFF"/>
    <w:rsid w:val="00C0376C"/>
    <w:rsid w:val="00C043C5"/>
    <w:rsid w:val="00C05BFB"/>
    <w:rsid w:val="00C24B42"/>
    <w:rsid w:val="00C25756"/>
    <w:rsid w:val="00C419BC"/>
    <w:rsid w:val="00C65E1C"/>
    <w:rsid w:val="00C87B5E"/>
    <w:rsid w:val="00C920AB"/>
    <w:rsid w:val="00C9553A"/>
    <w:rsid w:val="00CA55B2"/>
    <w:rsid w:val="00CB6BF7"/>
    <w:rsid w:val="00CB7977"/>
    <w:rsid w:val="00CC14AE"/>
    <w:rsid w:val="00CD6AB0"/>
    <w:rsid w:val="00CE1E6B"/>
    <w:rsid w:val="00CF302F"/>
    <w:rsid w:val="00D17B7F"/>
    <w:rsid w:val="00D202D4"/>
    <w:rsid w:val="00D26731"/>
    <w:rsid w:val="00D3560C"/>
    <w:rsid w:val="00D64C0E"/>
    <w:rsid w:val="00D700AE"/>
    <w:rsid w:val="00D805B6"/>
    <w:rsid w:val="00D81E70"/>
    <w:rsid w:val="00DB3AD6"/>
    <w:rsid w:val="00DD2225"/>
    <w:rsid w:val="00DE31E2"/>
    <w:rsid w:val="00E1006B"/>
    <w:rsid w:val="00E31C78"/>
    <w:rsid w:val="00E41669"/>
    <w:rsid w:val="00E50C16"/>
    <w:rsid w:val="00E6349F"/>
    <w:rsid w:val="00E66737"/>
    <w:rsid w:val="00E70FDA"/>
    <w:rsid w:val="00E74FF3"/>
    <w:rsid w:val="00EE6460"/>
    <w:rsid w:val="00EE6F9F"/>
    <w:rsid w:val="00EF7BE1"/>
    <w:rsid w:val="00F03DE2"/>
    <w:rsid w:val="00F1082A"/>
    <w:rsid w:val="00F17661"/>
    <w:rsid w:val="00F303F6"/>
    <w:rsid w:val="00F368FE"/>
    <w:rsid w:val="00F40E43"/>
    <w:rsid w:val="00F426BE"/>
    <w:rsid w:val="00F5351B"/>
    <w:rsid w:val="00F55E2D"/>
    <w:rsid w:val="00F62763"/>
    <w:rsid w:val="00F7459A"/>
    <w:rsid w:val="00F81047"/>
    <w:rsid w:val="00F9050A"/>
    <w:rsid w:val="00F91792"/>
    <w:rsid w:val="00FA3D0D"/>
    <w:rsid w:val="00FB1DEB"/>
    <w:rsid w:val="00FC2380"/>
    <w:rsid w:val="00FE52A3"/>
    <w:rsid w:val="00FF0E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D0F2FA"/>
  <w15:docId w15:val="{22C94FDE-F813-4405-8E8F-D6C5639B9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4304A"/>
    <w:pPr>
      <w:jc w:val="both"/>
    </w:pPr>
    <w:rPr>
      <w:rFonts w:ascii="Open Sans" w:hAnsi="Open Sans"/>
    </w:rPr>
  </w:style>
  <w:style w:type="paragraph" w:styleId="berschrift1">
    <w:name w:val="heading 1"/>
    <w:basedOn w:val="Standard"/>
    <w:next w:val="Standard"/>
    <w:link w:val="berschrift1Zchn"/>
    <w:qFormat/>
    <w:rsid w:val="00807D5E"/>
    <w:pPr>
      <w:keepNext/>
      <w:keepLines/>
      <w:spacing w:after="60"/>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Datum">
    <w:name w:val="Date"/>
    <w:basedOn w:val="Textkrper"/>
    <w:next w:val="Standard"/>
    <w:pPr>
      <w:spacing w:after="440" w:line="220" w:lineRule="atLeast"/>
      <w:ind w:left="4321"/>
      <w:jc w:val="right"/>
    </w:pPr>
    <w:rPr>
      <w:rFonts w:ascii="Arial" w:hAnsi="Arial"/>
      <w:spacing w:val="-5"/>
    </w:rPr>
  </w:style>
  <w:style w:type="paragraph" w:styleId="Textkrper">
    <w:name w:val="Body Text"/>
    <w:basedOn w:val="Standard"/>
    <w:pPr>
      <w:spacing w:after="120"/>
    </w:pPr>
  </w:style>
  <w:style w:type="paragraph" w:styleId="Anrede">
    <w:name w:val="Salutation"/>
    <w:basedOn w:val="Textkrper"/>
    <w:next w:val="Standard"/>
    <w:pPr>
      <w:spacing w:before="220" w:after="220" w:line="220" w:lineRule="atLeast"/>
    </w:pPr>
    <w:rPr>
      <w:rFonts w:ascii="Arial" w:hAnsi="Arial"/>
      <w:spacing w:val="-5"/>
    </w:rPr>
  </w:style>
  <w:style w:type="paragraph" w:styleId="Textkrper2">
    <w:name w:val="Body Text 2"/>
    <w:basedOn w:val="Standard"/>
    <w:pPr>
      <w:framePr w:w="4423" w:hSpace="142" w:wrap="around" w:vAnchor="page" w:hAnchor="page" w:x="7343" w:y="721" w:anchorLock="1"/>
      <w:spacing w:after="120"/>
    </w:pPr>
    <w:rPr>
      <w:rFonts w:ascii="Gill Sans MT" w:hAnsi="Gill Sans MT"/>
      <w:b/>
    </w:rPr>
  </w:style>
  <w:style w:type="paragraph" w:styleId="Sprechblasentext">
    <w:name w:val="Balloon Text"/>
    <w:basedOn w:val="Standard"/>
    <w:semiHidden/>
    <w:rsid w:val="00156209"/>
    <w:rPr>
      <w:rFonts w:ascii="Tahoma" w:hAnsi="Tahoma" w:cs="Tahoma"/>
      <w:sz w:val="16"/>
      <w:szCs w:val="16"/>
    </w:rPr>
  </w:style>
  <w:style w:type="paragraph" w:styleId="Textkrper3">
    <w:name w:val="Body Text 3"/>
    <w:basedOn w:val="Standard"/>
    <w:rsid w:val="00B769F1"/>
    <w:pPr>
      <w:spacing w:after="120"/>
    </w:pPr>
    <w:rPr>
      <w:sz w:val="16"/>
      <w:szCs w:val="16"/>
    </w:rPr>
  </w:style>
  <w:style w:type="character" w:styleId="Hyperlink">
    <w:name w:val="Hyperlink"/>
    <w:rsid w:val="009C69E9"/>
    <w:rPr>
      <w:rFonts w:ascii="Open Sans" w:hAnsi="Open Sans"/>
      <w:color w:val="009EE2"/>
      <w:sz w:val="20"/>
      <w:u w:val="single"/>
    </w:rPr>
  </w:style>
  <w:style w:type="character" w:customStyle="1" w:styleId="berschrift1Zchn">
    <w:name w:val="Überschrift 1 Zchn"/>
    <w:link w:val="berschrift1"/>
    <w:rsid w:val="00807D5E"/>
    <w:rPr>
      <w:rFonts w:ascii="Open Sans" w:hAnsi="Open Sans"/>
      <w:b/>
    </w:rPr>
  </w:style>
  <w:style w:type="table" w:styleId="Tabellenraster">
    <w:name w:val="Table Grid"/>
    <w:basedOn w:val="NormaleTabelle"/>
    <w:rsid w:val="00917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807D5E"/>
    <w:pPr>
      <w:spacing w:before="120" w:after="300"/>
      <w:contextualSpacing/>
    </w:pPr>
    <w:rPr>
      <w:rFonts w:eastAsiaTheme="majorEastAsia" w:cstheme="majorBidi"/>
      <w:b/>
      <w:color w:val="009EE2"/>
      <w:spacing w:val="5"/>
      <w:kern w:val="28"/>
      <w:sz w:val="28"/>
      <w:szCs w:val="52"/>
    </w:rPr>
  </w:style>
  <w:style w:type="character" w:customStyle="1" w:styleId="TitelZchn">
    <w:name w:val="Titel Zchn"/>
    <w:basedOn w:val="Absatz-Standardschriftart"/>
    <w:link w:val="Titel"/>
    <w:rsid w:val="00807D5E"/>
    <w:rPr>
      <w:rFonts w:ascii="Open Sans" w:eastAsiaTheme="majorEastAsia" w:hAnsi="Open Sans" w:cstheme="majorBidi"/>
      <w:b/>
      <w:color w:val="009EE2"/>
      <w:spacing w:val="5"/>
      <w:kern w:val="28"/>
      <w:sz w:val="28"/>
      <w:szCs w:val="52"/>
    </w:rPr>
  </w:style>
  <w:style w:type="paragraph" w:styleId="NurText">
    <w:name w:val="Plain Text"/>
    <w:basedOn w:val="Standard"/>
    <w:link w:val="NurTextZchn"/>
    <w:uiPriority w:val="99"/>
    <w:unhideWhenUsed/>
    <w:rsid w:val="000C2804"/>
    <w:pPr>
      <w:jc w:val="left"/>
    </w:pPr>
    <w:rPr>
      <w:rFonts w:ascii="Calibri" w:hAnsi="Calibri"/>
      <w:szCs w:val="21"/>
    </w:rPr>
  </w:style>
  <w:style w:type="character" w:customStyle="1" w:styleId="NurTextZchn">
    <w:name w:val="Nur Text Zchn"/>
    <w:basedOn w:val="Absatz-Standardschriftart"/>
    <w:link w:val="NurText"/>
    <w:uiPriority w:val="99"/>
    <w:rsid w:val="000C2804"/>
    <w:rPr>
      <w:rFonts w:ascii="Calibri" w:hAnsi="Calibri"/>
      <w:szCs w:val="21"/>
    </w:rPr>
  </w:style>
  <w:style w:type="character" w:customStyle="1" w:styleId="FuzeileZchn">
    <w:name w:val="Fußzeile Zchn"/>
    <w:basedOn w:val="Absatz-Standardschriftart"/>
    <w:link w:val="Fuzeile"/>
    <w:uiPriority w:val="99"/>
    <w:rsid w:val="00855E0C"/>
    <w:rPr>
      <w:rFonts w:ascii="Open Sans" w:hAnsi="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20635">
      <w:bodyDiv w:val="1"/>
      <w:marLeft w:val="0"/>
      <w:marRight w:val="0"/>
      <w:marTop w:val="0"/>
      <w:marBottom w:val="0"/>
      <w:divBdr>
        <w:top w:val="none" w:sz="0" w:space="0" w:color="auto"/>
        <w:left w:val="none" w:sz="0" w:space="0" w:color="auto"/>
        <w:bottom w:val="none" w:sz="0" w:space="0" w:color="auto"/>
        <w:right w:val="none" w:sz="0" w:space="0" w:color="auto"/>
      </w:divBdr>
    </w:div>
    <w:div w:id="319386578">
      <w:bodyDiv w:val="1"/>
      <w:marLeft w:val="0"/>
      <w:marRight w:val="0"/>
      <w:marTop w:val="0"/>
      <w:marBottom w:val="0"/>
      <w:divBdr>
        <w:top w:val="none" w:sz="0" w:space="0" w:color="auto"/>
        <w:left w:val="none" w:sz="0" w:space="0" w:color="auto"/>
        <w:bottom w:val="none" w:sz="0" w:space="0" w:color="auto"/>
        <w:right w:val="none" w:sz="0" w:space="0" w:color="auto"/>
      </w:divBdr>
    </w:div>
    <w:div w:id="816461169">
      <w:bodyDiv w:val="1"/>
      <w:marLeft w:val="0"/>
      <w:marRight w:val="0"/>
      <w:marTop w:val="0"/>
      <w:marBottom w:val="0"/>
      <w:divBdr>
        <w:top w:val="none" w:sz="0" w:space="0" w:color="auto"/>
        <w:left w:val="none" w:sz="0" w:space="0" w:color="auto"/>
        <w:bottom w:val="none" w:sz="0" w:space="0" w:color="auto"/>
        <w:right w:val="none" w:sz="0" w:space="0" w:color="auto"/>
      </w:divBdr>
    </w:div>
    <w:div w:id="1124349270">
      <w:bodyDiv w:val="1"/>
      <w:marLeft w:val="0"/>
      <w:marRight w:val="0"/>
      <w:marTop w:val="0"/>
      <w:marBottom w:val="0"/>
      <w:divBdr>
        <w:top w:val="none" w:sz="0" w:space="0" w:color="auto"/>
        <w:left w:val="none" w:sz="0" w:space="0" w:color="auto"/>
        <w:bottom w:val="none" w:sz="0" w:space="0" w:color="auto"/>
        <w:right w:val="none" w:sz="0" w:space="0" w:color="auto"/>
      </w:divBdr>
    </w:div>
    <w:div w:id="1185754035">
      <w:bodyDiv w:val="1"/>
      <w:marLeft w:val="0"/>
      <w:marRight w:val="0"/>
      <w:marTop w:val="0"/>
      <w:marBottom w:val="0"/>
      <w:divBdr>
        <w:top w:val="none" w:sz="0" w:space="0" w:color="auto"/>
        <w:left w:val="none" w:sz="0" w:space="0" w:color="auto"/>
        <w:bottom w:val="none" w:sz="0" w:space="0" w:color="auto"/>
        <w:right w:val="none" w:sz="0" w:space="0" w:color="auto"/>
      </w:divBdr>
    </w:div>
    <w:div w:id="181837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weinhofer@wien.creditreform.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DOC\Briefformular%20mit%20Adresse%20Wien%20allgemein.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E010B-038A-411A-AAAD-64C741FD4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Briefformular mit Adresse Wien allgemein.dot</Template>
  <TotalTime>0</TotalTime>
  <Pages>3</Pages>
  <Words>627</Words>
  <Characters>3952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Bitte hier klicken um den Namen einzugeben</vt:lpstr>
    </vt:vector>
  </TitlesOfParts>
  <Company>VVC Neuss</Company>
  <LinksUpToDate>false</LinksUpToDate>
  <CharactersWithSpaces>4570</CharactersWithSpaces>
  <SharedDoc>false</SharedDoc>
  <HLinks>
    <vt:vector size="12" baseType="variant">
      <vt:variant>
        <vt:i4>7864372</vt:i4>
      </vt:variant>
      <vt:variant>
        <vt:i4>3</vt:i4>
      </vt:variant>
      <vt:variant>
        <vt:i4>0</vt:i4>
      </vt:variant>
      <vt:variant>
        <vt:i4>5</vt:i4>
      </vt:variant>
      <vt:variant>
        <vt:lpwstr>http://www.creditreform.at/</vt:lpwstr>
      </vt:variant>
      <vt:variant>
        <vt:lpwstr/>
      </vt:variant>
      <vt:variant>
        <vt:i4>4128773</vt:i4>
      </vt:variant>
      <vt:variant>
        <vt:i4>0</vt:i4>
      </vt:variant>
      <vt:variant>
        <vt:i4>0</vt:i4>
      </vt:variant>
      <vt:variant>
        <vt:i4>5</vt:i4>
      </vt:variant>
      <vt:variant>
        <vt:lpwstr>mailto:g.weinhofer@wien.creditreform.at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hier klicken um den Namen einzugeben</dc:title>
  <dc:creator>CREFOS</dc:creator>
  <cp:lastModifiedBy>Myckan, Marcus</cp:lastModifiedBy>
  <cp:revision>3</cp:revision>
  <cp:lastPrinted>2023-11-08T08:19:00Z</cp:lastPrinted>
  <dcterms:created xsi:type="dcterms:W3CDTF">2023-11-08T08:24:00Z</dcterms:created>
  <dcterms:modified xsi:type="dcterms:W3CDTF">2023-11-17T07:31:00Z</dcterms:modified>
</cp:coreProperties>
</file>