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8"/>
      </w:tblGrid>
      <w:tr w:rsidR="00917255" w:rsidRPr="00917255" w:rsidTr="00855E0C">
        <w:tc>
          <w:tcPr>
            <w:tcW w:w="5529" w:type="dxa"/>
          </w:tcPr>
          <w:p w:rsidR="00917255" w:rsidRPr="00917255" w:rsidRDefault="00917255" w:rsidP="00A44288">
            <w:pPr>
              <w:pStyle w:val="Textkrper2"/>
              <w:framePr w:w="0" w:hSpace="0" w:wrap="auto" w:vAnchor="margin" w:hAnchor="text" w:xAlign="left" w:yAlign="inline"/>
              <w:spacing w:after="0"/>
              <w:rPr>
                <w:rFonts w:ascii="Open Sans" w:hAnsi="Open Sans" w:cs="Open Sans"/>
                <w:color w:val="000000"/>
                <w:sz w:val="18"/>
                <w:szCs w:val="18"/>
                <w:lang w:val="de-AT"/>
              </w:rPr>
            </w:pPr>
          </w:p>
        </w:tc>
        <w:tc>
          <w:tcPr>
            <w:tcW w:w="3828" w:type="dxa"/>
          </w:tcPr>
          <w:p w:rsidR="00917255" w:rsidRPr="00917255" w:rsidRDefault="00917255" w:rsidP="00855E0C">
            <w:pPr>
              <w:pStyle w:val="Textkrper2"/>
              <w:framePr w:w="0" w:hSpace="0" w:wrap="auto" w:vAnchor="margin" w:hAnchor="text" w:xAlign="left" w:yAlign="inline"/>
              <w:spacing w:after="0"/>
              <w:ind w:left="31"/>
              <w:rPr>
                <w:rFonts w:ascii="Open Sans" w:hAnsi="Open Sans" w:cs="Open Sans"/>
                <w:color w:val="000000"/>
                <w:sz w:val="16"/>
                <w:szCs w:val="18"/>
                <w:lang w:val="de-AT"/>
              </w:rPr>
            </w:pPr>
            <w:r w:rsidRPr="00807D5E">
              <w:rPr>
                <w:rFonts w:ascii="Open Sans" w:hAnsi="Open Sans" w:cs="Open Sans"/>
                <w:color w:val="000000"/>
                <w:sz w:val="18"/>
                <w:szCs w:val="18"/>
                <w:lang w:val="de-AT"/>
              </w:rPr>
              <w:t>Österreichischer Verband Creditreform</w:t>
            </w:r>
            <w:r w:rsidRPr="00807D5E">
              <w:rPr>
                <w:rFonts w:ascii="Open Sans" w:hAnsi="Open Sans" w:cs="Open Sans"/>
                <w:color w:val="000000"/>
                <w:sz w:val="18"/>
                <w:szCs w:val="18"/>
                <w:lang w:val="de-AT"/>
              </w:rPr>
              <w:br/>
            </w:r>
            <w:r w:rsidRPr="00807D5E">
              <w:rPr>
                <w:rFonts w:ascii="Open Sans" w:hAnsi="Open Sans" w:cs="Open Sans"/>
                <w:color w:val="000000"/>
                <w:spacing w:val="-4"/>
                <w:sz w:val="18"/>
                <w:szCs w:val="18"/>
                <w:lang w:val="de-AT"/>
              </w:rPr>
              <w:t>Bevorrechteter Gläubigerschutzverband</w:t>
            </w:r>
            <w:r w:rsidRPr="00807D5E">
              <w:rPr>
                <w:rFonts w:ascii="Open Sans" w:hAnsi="Open Sans" w:cs="Open Sans"/>
                <w:color w:val="000000"/>
                <w:sz w:val="18"/>
                <w:szCs w:val="18"/>
                <w:lang w:val="de-AT"/>
              </w:rPr>
              <w:t xml:space="preserve"> </w:t>
            </w:r>
          </w:p>
        </w:tc>
      </w:tr>
      <w:tr w:rsidR="00917255" w:rsidRPr="00917255" w:rsidTr="00855E0C">
        <w:tc>
          <w:tcPr>
            <w:tcW w:w="5529" w:type="dxa"/>
          </w:tcPr>
          <w:p w:rsidR="00917255" w:rsidRPr="00917255" w:rsidRDefault="00917255" w:rsidP="00A44288">
            <w:pPr>
              <w:rPr>
                <w:rFonts w:cs="Open Sans"/>
                <w:sz w:val="18"/>
                <w:szCs w:val="18"/>
                <w:lang w:val="de-AT"/>
              </w:rPr>
            </w:pPr>
          </w:p>
        </w:tc>
        <w:tc>
          <w:tcPr>
            <w:tcW w:w="3828" w:type="dxa"/>
          </w:tcPr>
          <w:p w:rsidR="00917255" w:rsidRPr="00917255" w:rsidRDefault="00274367" w:rsidP="00855E0C">
            <w:pPr>
              <w:ind w:left="31"/>
              <w:rPr>
                <w:rFonts w:cs="Open Sans"/>
                <w:sz w:val="16"/>
                <w:szCs w:val="16"/>
                <w:lang w:val="de-AT"/>
              </w:rPr>
            </w:pPr>
            <w:proofErr w:type="spellStart"/>
            <w:r>
              <w:rPr>
                <w:rFonts w:cs="Open Sans"/>
                <w:sz w:val="16"/>
                <w:szCs w:val="16"/>
                <w:lang w:val="de-AT"/>
              </w:rPr>
              <w:t>Nußdorfer</w:t>
            </w:r>
            <w:proofErr w:type="spellEnd"/>
            <w:r>
              <w:rPr>
                <w:rFonts w:cs="Open Sans"/>
                <w:sz w:val="16"/>
                <w:szCs w:val="16"/>
                <w:lang w:val="de-AT"/>
              </w:rPr>
              <w:t xml:space="preserve"> Lände 23</w:t>
            </w:r>
            <w:r w:rsidR="00917255" w:rsidRPr="00917255">
              <w:rPr>
                <w:rFonts w:cs="Open Sans"/>
                <w:sz w:val="16"/>
                <w:szCs w:val="16"/>
                <w:lang w:val="de-AT"/>
              </w:rPr>
              <w:t>, 1190 Wien</w:t>
            </w:r>
          </w:p>
        </w:tc>
      </w:tr>
      <w:tr w:rsidR="00917255" w:rsidRPr="00917255" w:rsidTr="00855E0C">
        <w:tc>
          <w:tcPr>
            <w:tcW w:w="5529" w:type="dxa"/>
          </w:tcPr>
          <w:p w:rsidR="00917255" w:rsidRPr="00917255" w:rsidRDefault="00917255" w:rsidP="00A44288">
            <w:pPr>
              <w:tabs>
                <w:tab w:val="left" w:pos="709"/>
              </w:tabs>
              <w:rPr>
                <w:rFonts w:cs="Open Sans"/>
                <w:color w:val="000000"/>
                <w:sz w:val="18"/>
                <w:szCs w:val="18"/>
              </w:rPr>
            </w:pPr>
          </w:p>
        </w:tc>
        <w:tc>
          <w:tcPr>
            <w:tcW w:w="3828" w:type="dxa"/>
          </w:tcPr>
          <w:p w:rsidR="00917255" w:rsidRPr="00917255" w:rsidRDefault="00917255" w:rsidP="00855E0C">
            <w:pPr>
              <w:tabs>
                <w:tab w:val="left" w:pos="709"/>
              </w:tabs>
              <w:ind w:left="31"/>
              <w:rPr>
                <w:rFonts w:cs="Open Sans"/>
                <w:sz w:val="16"/>
                <w:szCs w:val="16"/>
                <w:lang w:val="de-AT"/>
              </w:rPr>
            </w:pPr>
            <w:r w:rsidRPr="00917255">
              <w:rPr>
                <w:rFonts w:cs="Open Sans"/>
                <w:color w:val="000000"/>
                <w:sz w:val="16"/>
                <w:szCs w:val="16"/>
              </w:rPr>
              <w:t>ZVR: 676112673</w:t>
            </w:r>
          </w:p>
        </w:tc>
      </w:tr>
      <w:tr w:rsidR="00917255" w:rsidRPr="00917255" w:rsidTr="00855E0C">
        <w:tc>
          <w:tcPr>
            <w:tcW w:w="5529"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917255" w:rsidP="00855E0C">
            <w:pPr>
              <w:tabs>
                <w:tab w:val="left" w:pos="709"/>
              </w:tabs>
              <w:ind w:left="31"/>
              <w:rPr>
                <w:rFonts w:cs="Open Sans"/>
                <w:sz w:val="16"/>
                <w:szCs w:val="16"/>
                <w:lang w:val="de-AT"/>
              </w:rPr>
            </w:pPr>
            <w:r w:rsidRPr="00917255">
              <w:rPr>
                <w:rFonts w:cs="Open Sans"/>
                <w:sz w:val="16"/>
                <w:szCs w:val="16"/>
                <w:lang w:val="de-AT"/>
              </w:rPr>
              <w:t>Telefon</w:t>
            </w:r>
            <w:r w:rsidRPr="00917255">
              <w:rPr>
                <w:rFonts w:cs="Open Sans"/>
                <w:sz w:val="16"/>
                <w:szCs w:val="16"/>
                <w:lang w:val="de-AT"/>
              </w:rPr>
              <w:tab/>
              <w:t>+43 1 218 62 20-551</w:t>
            </w:r>
          </w:p>
        </w:tc>
      </w:tr>
      <w:tr w:rsidR="00917255" w:rsidRPr="00917255" w:rsidTr="00855E0C">
        <w:tc>
          <w:tcPr>
            <w:tcW w:w="5529"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28285C" w:rsidP="00855E0C">
            <w:pPr>
              <w:tabs>
                <w:tab w:val="left" w:pos="709"/>
              </w:tabs>
              <w:ind w:left="31"/>
              <w:rPr>
                <w:rFonts w:cs="Open Sans"/>
                <w:sz w:val="16"/>
                <w:szCs w:val="16"/>
                <w:lang w:val="de-AT"/>
              </w:rPr>
            </w:pPr>
            <w:r w:rsidRPr="00917255">
              <w:rPr>
                <w:rFonts w:cs="Open Sans"/>
                <w:sz w:val="16"/>
                <w:szCs w:val="16"/>
                <w:lang w:val="de-AT"/>
              </w:rPr>
              <w:t xml:space="preserve">Mobil </w:t>
            </w:r>
            <w:r w:rsidRPr="00917255">
              <w:rPr>
                <w:rFonts w:cs="Open Sans"/>
                <w:sz w:val="16"/>
                <w:szCs w:val="16"/>
                <w:lang w:val="de-AT"/>
              </w:rPr>
              <w:tab/>
              <w:t>+</w:t>
            </w:r>
            <w:bookmarkStart w:id="0" w:name="_Hlt99416363"/>
            <w:r w:rsidRPr="00917255">
              <w:rPr>
                <w:rFonts w:cs="Open Sans"/>
                <w:sz w:val="16"/>
                <w:szCs w:val="16"/>
                <w:lang w:val="de-AT"/>
              </w:rPr>
              <w:t>4</w:t>
            </w:r>
            <w:bookmarkEnd w:id="0"/>
            <w:r w:rsidRPr="00917255">
              <w:rPr>
                <w:rFonts w:cs="Open Sans"/>
                <w:sz w:val="16"/>
                <w:szCs w:val="16"/>
                <w:lang w:val="de-AT"/>
              </w:rPr>
              <w:t>3 676 832 18 290</w:t>
            </w:r>
          </w:p>
        </w:tc>
      </w:tr>
      <w:tr w:rsidR="00917255" w:rsidRPr="00917255" w:rsidTr="00855E0C">
        <w:tc>
          <w:tcPr>
            <w:tcW w:w="5529"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28285C" w:rsidP="00855E0C">
            <w:pPr>
              <w:tabs>
                <w:tab w:val="left" w:pos="709"/>
              </w:tabs>
              <w:ind w:left="31"/>
              <w:rPr>
                <w:rFonts w:cs="Open Sans"/>
                <w:sz w:val="16"/>
                <w:szCs w:val="16"/>
                <w:lang w:val="de-AT"/>
              </w:rPr>
            </w:pPr>
            <w:r w:rsidRPr="00917255">
              <w:rPr>
                <w:rFonts w:cs="Open Sans"/>
                <w:sz w:val="16"/>
                <w:szCs w:val="16"/>
                <w:lang w:val="de-AT"/>
              </w:rPr>
              <w:t>g.weinhofer@wien.creditreform.at</w:t>
            </w:r>
          </w:p>
        </w:tc>
      </w:tr>
      <w:tr w:rsidR="00917255" w:rsidRPr="00917255" w:rsidTr="00855E0C">
        <w:tc>
          <w:tcPr>
            <w:tcW w:w="5529" w:type="dxa"/>
          </w:tcPr>
          <w:p w:rsidR="00917255" w:rsidRPr="00917255" w:rsidRDefault="00917255" w:rsidP="00A44288">
            <w:pPr>
              <w:tabs>
                <w:tab w:val="left" w:pos="851"/>
              </w:tabs>
              <w:rPr>
                <w:rFonts w:cs="Open Sans"/>
                <w:sz w:val="18"/>
                <w:szCs w:val="18"/>
                <w:lang w:val="de-AT"/>
              </w:rPr>
            </w:pPr>
          </w:p>
        </w:tc>
        <w:tc>
          <w:tcPr>
            <w:tcW w:w="3828" w:type="dxa"/>
          </w:tcPr>
          <w:p w:rsidR="00917255" w:rsidRPr="00917255" w:rsidRDefault="0028285C" w:rsidP="00855E0C">
            <w:pPr>
              <w:tabs>
                <w:tab w:val="left" w:pos="851"/>
              </w:tabs>
              <w:ind w:left="31"/>
              <w:rPr>
                <w:rFonts w:cs="Open Sans"/>
                <w:sz w:val="16"/>
                <w:szCs w:val="16"/>
                <w:lang w:val="de-AT"/>
              </w:rPr>
            </w:pPr>
            <w:r w:rsidRPr="00917255">
              <w:rPr>
                <w:rFonts w:cs="Open Sans"/>
                <w:color w:val="000000"/>
                <w:sz w:val="16"/>
                <w:szCs w:val="16"/>
                <w:lang w:val="de-AT"/>
              </w:rPr>
              <w:t>www.creditreform.at</w:t>
            </w:r>
          </w:p>
        </w:tc>
      </w:tr>
      <w:tr w:rsidR="00917255" w:rsidRPr="00917255" w:rsidTr="00855E0C">
        <w:tc>
          <w:tcPr>
            <w:tcW w:w="5529" w:type="dxa"/>
          </w:tcPr>
          <w:p w:rsidR="00917255" w:rsidRPr="00917255" w:rsidRDefault="00917255" w:rsidP="00A44288">
            <w:pPr>
              <w:tabs>
                <w:tab w:val="left" w:pos="851"/>
              </w:tabs>
              <w:rPr>
                <w:rFonts w:cs="Open Sans"/>
                <w:color w:val="000000"/>
                <w:sz w:val="18"/>
                <w:szCs w:val="18"/>
                <w:lang w:val="de-AT"/>
              </w:rPr>
            </w:pPr>
          </w:p>
        </w:tc>
        <w:tc>
          <w:tcPr>
            <w:tcW w:w="3828" w:type="dxa"/>
          </w:tcPr>
          <w:p w:rsidR="00917255" w:rsidRPr="00917255" w:rsidRDefault="00917255" w:rsidP="00855E0C">
            <w:pPr>
              <w:tabs>
                <w:tab w:val="left" w:pos="851"/>
              </w:tabs>
              <w:ind w:left="31"/>
              <w:rPr>
                <w:rFonts w:cs="Open Sans"/>
                <w:color w:val="000000"/>
                <w:sz w:val="16"/>
                <w:szCs w:val="16"/>
                <w:lang w:val="de-AT"/>
              </w:rPr>
            </w:pPr>
          </w:p>
        </w:tc>
      </w:tr>
    </w:tbl>
    <w:p w:rsidR="00917255" w:rsidRPr="004B3E51" w:rsidRDefault="00B5255A" w:rsidP="00917255">
      <w:pPr>
        <w:jc w:val="right"/>
        <w:rPr>
          <w:rFonts w:cs="Open Sans"/>
          <w:lang w:val="de-AT"/>
        </w:rPr>
      </w:pPr>
      <w:r>
        <w:rPr>
          <w:rFonts w:cs="Open Sans"/>
          <w:lang w:val="de-AT"/>
        </w:rPr>
        <w:t xml:space="preserve">Wien, </w:t>
      </w:r>
      <w:r w:rsidR="0044304A">
        <w:rPr>
          <w:rFonts w:cs="Open Sans"/>
          <w:lang w:val="de-AT"/>
        </w:rPr>
        <w:t>8</w:t>
      </w:r>
      <w:r w:rsidR="0028285C">
        <w:rPr>
          <w:rFonts w:cs="Open Sans"/>
          <w:lang w:val="de-AT"/>
        </w:rPr>
        <w:t xml:space="preserve">. </w:t>
      </w:r>
      <w:r w:rsidR="0044304A">
        <w:rPr>
          <w:rFonts w:cs="Open Sans"/>
          <w:lang w:val="de-AT"/>
        </w:rPr>
        <w:t>November</w:t>
      </w:r>
      <w:r w:rsidR="00B85604">
        <w:rPr>
          <w:rFonts w:cs="Open Sans"/>
          <w:lang w:val="de-AT"/>
        </w:rPr>
        <w:t xml:space="preserve"> </w:t>
      </w:r>
      <w:r w:rsidR="00917255" w:rsidRPr="004B3E51">
        <w:rPr>
          <w:rFonts w:cs="Open Sans"/>
          <w:lang w:val="de-AT"/>
        </w:rPr>
        <w:t>20</w:t>
      </w:r>
      <w:r>
        <w:rPr>
          <w:rFonts w:cs="Open Sans"/>
          <w:lang w:val="de-AT"/>
        </w:rPr>
        <w:t>2</w:t>
      </w:r>
      <w:r w:rsidR="00C0376C">
        <w:rPr>
          <w:rFonts w:cs="Open Sans"/>
          <w:lang w:val="de-AT"/>
        </w:rPr>
        <w:t>3</w:t>
      </w:r>
    </w:p>
    <w:p w:rsidR="004B3E51" w:rsidRDefault="004B3E51" w:rsidP="00917255">
      <w:pPr>
        <w:rPr>
          <w:lang w:val="de-AT"/>
        </w:rPr>
      </w:pPr>
    </w:p>
    <w:p w:rsidR="00B94644" w:rsidRPr="00824026" w:rsidRDefault="00B94644" w:rsidP="00DE31E2">
      <w:pPr>
        <w:pStyle w:val="Titel"/>
      </w:pPr>
      <w:r w:rsidRPr="00824026">
        <w:t xml:space="preserve">Creditreform </w:t>
      </w:r>
      <w:r w:rsidR="0028202E">
        <w:t>FIRMEN</w:t>
      </w:r>
      <w:r w:rsidR="009531F1" w:rsidRPr="009531F1">
        <w:t>INSOLVENZSTATISTIK</w:t>
      </w:r>
      <w:r w:rsidR="003504CD" w:rsidRPr="009531F1">
        <w:t xml:space="preserve"> </w:t>
      </w:r>
      <w:r w:rsidR="0013076B">
        <w:t xml:space="preserve">1. </w:t>
      </w:r>
      <w:r w:rsidR="0044304A">
        <w:t>bis 3. Quartal</w:t>
      </w:r>
      <w:r w:rsidR="0013076B">
        <w:t xml:space="preserve"> </w:t>
      </w:r>
      <w:r w:rsidR="003504CD" w:rsidRPr="00824026">
        <w:rPr>
          <w:bCs/>
          <w:lang w:val="de-AT"/>
        </w:rPr>
        <w:t>20</w:t>
      </w:r>
      <w:r w:rsidR="00B5255A">
        <w:rPr>
          <w:bCs/>
          <w:lang w:val="de-AT"/>
        </w:rPr>
        <w:t>2</w:t>
      </w:r>
      <w:r w:rsidR="00C0376C">
        <w:rPr>
          <w:bCs/>
          <w:lang w:val="de-AT"/>
        </w:rPr>
        <w:t>3</w:t>
      </w:r>
      <w:r w:rsidRPr="00824026">
        <w:rPr>
          <w:bCs/>
          <w:lang w:val="de-AT"/>
        </w:rPr>
        <w:t>:</w:t>
      </w:r>
    </w:p>
    <w:p w:rsidR="00B94644" w:rsidRPr="00824026" w:rsidRDefault="00C0376C" w:rsidP="00807D5E">
      <w:pPr>
        <w:pStyle w:val="Titel"/>
      </w:pPr>
      <w:r>
        <w:t>21</w:t>
      </w:r>
      <w:r w:rsidR="00B94644" w:rsidRPr="00824026">
        <w:t xml:space="preserve"> Insolvenzverfahren pro Werktag</w:t>
      </w:r>
    </w:p>
    <w:p w:rsidR="0044304A" w:rsidRPr="0044304A" w:rsidRDefault="0044304A" w:rsidP="0044304A">
      <w:pPr>
        <w:rPr>
          <w:b/>
          <w:color w:val="00B0F0"/>
          <w:sz w:val="22"/>
          <w:szCs w:val="22"/>
        </w:rPr>
      </w:pPr>
      <w:r w:rsidRPr="0044304A">
        <w:rPr>
          <w:b/>
          <w:color w:val="00B0F0"/>
          <w:sz w:val="22"/>
          <w:szCs w:val="22"/>
        </w:rPr>
        <w:t>Firmeninsolvenzen steigen um 10% und übertreffen Vor-Pandemie-Niveau, dennoch kein Grund, Alarm zu schlagen</w:t>
      </w:r>
    </w:p>
    <w:p w:rsidR="0044304A" w:rsidRPr="0044304A" w:rsidRDefault="0044304A" w:rsidP="0044304A">
      <w:pPr>
        <w:rPr>
          <w:sz w:val="22"/>
          <w:szCs w:val="22"/>
        </w:rPr>
      </w:pPr>
      <w:r w:rsidRPr="0044304A">
        <w:rPr>
          <w:sz w:val="22"/>
          <w:szCs w:val="22"/>
        </w:rPr>
        <w:t>Der Gläubigerschutzverband Creditreform hat die endgültigen Zahlen bei den Firmeninsolvenzen für das 1. bis 3. Quartal 2023 in Ö</w:t>
      </w:r>
      <w:r w:rsidRPr="0044304A">
        <w:rPr>
          <w:sz w:val="22"/>
          <w:szCs w:val="22"/>
        </w:rPr>
        <w:t>s</w:t>
      </w:r>
      <w:r w:rsidRPr="0044304A">
        <w:rPr>
          <w:sz w:val="22"/>
          <w:szCs w:val="22"/>
        </w:rPr>
        <w:t xml:space="preserve">terreich analysiert. Die Gesamtzahl der Unternehmensinsolvenzen steigt um rund 10% auf über 4.000 Verfahren an. Das Vor-Pandemie-Niveau ist damit bereits übertroffen. Die Zahl der eröffneten Insolvenzen erhöht sich gar um 14,5% auf 2.467, die mangels Vermögen abgewiesenen Insolvenzen um 4,9% auf 1.549 Verfahren. </w:t>
      </w:r>
    </w:p>
    <w:p w:rsidR="0044304A" w:rsidRPr="0044304A" w:rsidRDefault="0044304A" w:rsidP="0044304A">
      <w:pPr>
        <w:rPr>
          <w:sz w:val="22"/>
          <w:szCs w:val="22"/>
        </w:rPr>
      </w:pPr>
      <w:r w:rsidRPr="0044304A">
        <w:rPr>
          <w:sz w:val="22"/>
          <w:szCs w:val="22"/>
        </w:rPr>
        <w:t>Dazu Gerhard M. Weinhofer, Geschäftsführer des Gläubigerschutzve</w:t>
      </w:r>
      <w:r w:rsidRPr="0044304A">
        <w:rPr>
          <w:sz w:val="22"/>
          <w:szCs w:val="22"/>
        </w:rPr>
        <w:t>r</w:t>
      </w:r>
      <w:r w:rsidRPr="0044304A">
        <w:rPr>
          <w:sz w:val="22"/>
          <w:szCs w:val="22"/>
        </w:rPr>
        <w:t>bandes Österreichischer Verband Creditreform: „Die Verteuerung von Materialien und Energie, hohe Lohnabschlüsse bei gleichzeitig sinkenden Margen, Ende der Billigfinanzierungen und ein generell verunsichertes Marktumfeld führen zu steigenden Insolvenzen. Grund, Alarm zu schlagen, gibt es aber nicht. Denn selbst die Rückkehr auf das Vor-Corona-Niveau bedeutet eine so geringe Anzahl an Insolvenzen wie vor 21 Jahren.“</w:t>
      </w:r>
    </w:p>
    <w:p w:rsidR="0044304A" w:rsidRPr="0044304A" w:rsidRDefault="0044304A" w:rsidP="0044304A">
      <w:pPr>
        <w:rPr>
          <w:sz w:val="22"/>
          <w:szCs w:val="22"/>
        </w:rPr>
      </w:pPr>
      <w:r w:rsidRPr="0044304A">
        <w:rPr>
          <w:sz w:val="22"/>
          <w:szCs w:val="22"/>
        </w:rPr>
        <w:t>Die Hauptursachen für Firmeninsolvenzen liegen in der sich verschlechternden allgemeinen Wirtschaftslage, in Managementfehlern und im Kapitalmangel. Inflation trifft auf rückläufige Nachfrage und auf sinkende Margen. Eine steigende Anzahl läßt sich aber auch auf restriktivere gesetzliche Vorschriften (i.e. Bürokratie) zurückführen.</w:t>
      </w:r>
    </w:p>
    <w:p w:rsidR="0044304A" w:rsidRDefault="0044304A" w:rsidP="0044304A">
      <w:pPr>
        <w:rPr>
          <w:sz w:val="22"/>
          <w:szCs w:val="22"/>
        </w:rPr>
      </w:pPr>
    </w:p>
    <w:p w:rsidR="0044304A" w:rsidRPr="0044304A" w:rsidRDefault="0044304A" w:rsidP="0044304A">
      <w:pPr>
        <w:rPr>
          <w:i/>
          <w:sz w:val="16"/>
          <w:szCs w:val="16"/>
        </w:rPr>
      </w:pPr>
      <w:r w:rsidRPr="0044304A">
        <w:rPr>
          <w:i/>
          <w:sz w:val="16"/>
          <w:szCs w:val="16"/>
        </w:rPr>
        <w:t>Tab. 1: Unternehmensinsolvenzen in Österreich, 1.-3. Quartal 2023</w:t>
      </w:r>
    </w:p>
    <w:tbl>
      <w:tblPr>
        <w:tblStyle w:val="Tabellenraster"/>
        <w:tblW w:w="9439" w:type="dxa"/>
        <w:jc w:val="center"/>
        <w:tblBorders>
          <w:top w:val="single" w:sz="12" w:space="0" w:color="009EE2"/>
          <w:left w:val="single" w:sz="12" w:space="0" w:color="009EE2"/>
          <w:bottom w:val="single" w:sz="12" w:space="0" w:color="009EE2"/>
          <w:right w:val="single" w:sz="12" w:space="0" w:color="009EE2"/>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954"/>
        <w:gridCol w:w="1402"/>
        <w:gridCol w:w="1361"/>
        <w:gridCol w:w="1361"/>
        <w:gridCol w:w="1361"/>
      </w:tblGrid>
      <w:tr w:rsidR="0044304A" w:rsidRPr="009D5EFF" w:rsidTr="0044304A">
        <w:trPr>
          <w:trHeight w:val="596"/>
          <w:jc w:val="center"/>
        </w:trPr>
        <w:tc>
          <w:tcPr>
            <w:tcW w:w="3954" w:type="dxa"/>
            <w:shd w:val="clear" w:color="auto" w:fill="B2B2B2"/>
            <w:vAlign w:val="bottom"/>
          </w:tcPr>
          <w:p w:rsidR="0044304A" w:rsidRPr="0044304A" w:rsidRDefault="0044304A" w:rsidP="00FA1525">
            <w:pPr>
              <w:rPr>
                <w:sz w:val="16"/>
                <w:szCs w:val="16"/>
              </w:rPr>
            </w:pPr>
            <w:r w:rsidRPr="0044304A">
              <w:rPr>
                <w:sz w:val="16"/>
                <w:szCs w:val="16"/>
              </w:rPr>
              <w:t> </w:t>
            </w:r>
          </w:p>
        </w:tc>
        <w:tc>
          <w:tcPr>
            <w:tcW w:w="1402" w:type="dxa"/>
            <w:shd w:val="clear" w:color="auto" w:fill="B2B2B2"/>
            <w:vAlign w:val="center"/>
          </w:tcPr>
          <w:p w:rsidR="0044304A" w:rsidRPr="0044304A" w:rsidRDefault="0044304A" w:rsidP="00FA1525">
            <w:pPr>
              <w:jc w:val="center"/>
              <w:rPr>
                <w:bCs/>
                <w:sz w:val="16"/>
                <w:szCs w:val="16"/>
              </w:rPr>
            </w:pPr>
            <w:r w:rsidRPr="0044304A">
              <w:rPr>
                <w:bCs/>
                <w:sz w:val="16"/>
                <w:szCs w:val="16"/>
              </w:rPr>
              <w:t>1. – 3. Quartal 2023</w:t>
            </w:r>
          </w:p>
        </w:tc>
        <w:tc>
          <w:tcPr>
            <w:tcW w:w="1361" w:type="dxa"/>
            <w:shd w:val="clear" w:color="auto" w:fill="B2B2B2"/>
            <w:vAlign w:val="center"/>
          </w:tcPr>
          <w:p w:rsidR="0044304A" w:rsidRPr="0044304A" w:rsidRDefault="0044304A" w:rsidP="00FA1525">
            <w:pPr>
              <w:jc w:val="center"/>
              <w:rPr>
                <w:bCs/>
                <w:sz w:val="16"/>
                <w:szCs w:val="16"/>
              </w:rPr>
            </w:pPr>
            <w:r w:rsidRPr="0044304A">
              <w:rPr>
                <w:bCs/>
                <w:sz w:val="16"/>
                <w:szCs w:val="16"/>
              </w:rPr>
              <w:t>1. - 3. Quartal 2022</w:t>
            </w:r>
          </w:p>
        </w:tc>
        <w:tc>
          <w:tcPr>
            <w:tcW w:w="1361" w:type="dxa"/>
            <w:shd w:val="clear" w:color="auto" w:fill="B2B2B2"/>
            <w:vAlign w:val="center"/>
          </w:tcPr>
          <w:p w:rsidR="0044304A" w:rsidRPr="0044304A" w:rsidRDefault="0044304A" w:rsidP="00FA1525">
            <w:pPr>
              <w:jc w:val="center"/>
              <w:rPr>
                <w:bCs/>
                <w:sz w:val="16"/>
                <w:szCs w:val="16"/>
              </w:rPr>
            </w:pPr>
            <w:r w:rsidRPr="0044304A">
              <w:rPr>
                <w:bCs/>
                <w:sz w:val="16"/>
                <w:szCs w:val="16"/>
              </w:rPr>
              <w:t>Veränderung</w:t>
            </w:r>
            <w:r w:rsidRPr="0044304A">
              <w:rPr>
                <w:bCs/>
                <w:sz w:val="16"/>
                <w:szCs w:val="16"/>
              </w:rPr>
              <w:br/>
              <w:t>absolut</w:t>
            </w:r>
          </w:p>
        </w:tc>
        <w:tc>
          <w:tcPr>
            <w:tcW w:w="1361" w:type="dxa"/>
            <w:shd w:val="clear" w:color="auto" w:fill="B2B2B2"/>
            <w:vAlign w:val="center"/>
          </w:tcPr>
          <w:p w:rsidR="0044304A" w:rsidRPr="0044304A" w:rsidRDefault="0044304A" w:rsidP="00FA1525">
            <w:pPr>
              <w:jc w:val="center"/>
              <w:rPr>
                <w:bCs/>
                <w:sz w:val="16"/>
                <w:szCs w:val="16"/>
              </w:rPr>
            </w:pPr>
            <w:r w:rsidRPr="0044304A">
              <w:rPr>
                <w:bCs/>
                <w:sz w:val="16"/>
                <w:szCs w:val="16"/>
              </w:rPr>
              <w:t>Veränderung</w:t>
            </w:r>
            <w:r w:rsidRPr="0044304A">
              <w:rPr>
                <w:bCs/>
                <w:sz w:val="16"/>
                <w:szCs w:val="16"/>
              </w:rPr>
              <w:br/>
              <w:t>in %</w:t>
            </w:r>
          </w:p>
        </w:tc>
      </w:tr>
      <w:tr w:rsidR="0044304A" w:rsidRPr="00962200" w:rsidTr="0044304A">
        <w:trPr>
          <w:trHeight w:val="510"/>
          <w:jc w:val="center"/>
        </w:trPr>
        <w:tc>
          <w:tcPr>
            <w:tcW w:w="3954" w:type="dxa"/>
            <w:vAlign w:val="center"/>
          </w:tcPr>
          <w:p w:rsidR="0044304A" w:rsidRPr="0044304A" w:rsidRDefault="0044304A" w:rsidP="00FA1525">
            <w:pPr>
              <w:rPr>
                <w:rFonts w:cs="Open Sans"/>
                <w:sz w:val="16"/>
                <w:szCs w:val="16"/>
              </w:rPr>
            </w:pPr>
            <w:r w:rsidRPr="0044304A">
              <w:rPr>
                <w:rFonts w:cs="Open Sans"/>
                <w:sz w:val="16"/>
                <w:szCs w:val="16"/>
              </w:rPr>
              <w:t>Unternehmensinsolvenzen - Gesamt</w:t>
            </w:r>
          </w:p>
        </w:tc>
        <w:tc>
          <w:tcPr>
            <w:tcW w:w="1402" w:type="dxa"/>
            <w:vAlign w:val="center"/>
          </w:tcPr>
          <w:p w:rsidR="0044304A" w:rsidRPr="0044304A" w:rsidRDefault="0044304A" w:rsidP="00FA1525">
            <w:pPr>
              <w:jc w:val="center"/>
              <w:rPr>
                <w:rFonts w:cs="Open Sans"/>
                <w:sz w:val="16"/>
                <w:szCs w:val="16"/>
              </w:rPr>
            </w:pPr>
            <w:r w:rsidRPr="0044304A">
              <w:rPr>
                <w:rFonts w:cs="Open Sans"/>
                <w:sz w:val="16"/>
                <w:szCs w:val="16"/>
              </w:rPr>
              <w:t>4.016</w:t>
            </w:r>
          </w:p>
        </w:tc>
        <w:tc>
          <w:tcPr>
            <w:tcW w:w="1361" w:type="dxa"/>
            <w:vAlign w:val="center"/>
          </w:tcPr>
          <w:p w:rsidR="0044304A" w:rsidRPr="0044304A" w:rsidRDefault="0044304A" w:rsidP="00FA1525">
            <w:pPr>
              <w:jc w:val="center"/>
              <w:rPr>
                <w:rFonts w:cs="Open Sans"/>
                <w:sz w:val="16"/>
                <w:szCs w:val="16"/>
              </w:rPr>
            </w:pPr>
            <w:r w:rsidRPr="0044304A">
              <w:rPr>
                <w:rFonts w:cs="Open Sans"/>
                <w:sz w:val="16"/>
                <w:szCs w:val="16"/>
              </w:rPr>
              <w:t>3.632</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+384</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+10,6</w:t>
            </w:r>
          </w:p>
        </w:tc>
      </w:tr>
      <w:tr w:rsidR="0044304A" w:rsidRPr="00962200" w:rsidTr="0044304A">
        <w:trPr>
          <w:trHeight w:val="510"/>
          <w:jc w:val="center"/>
        </w:trPr>
        <w:tc>
          <w:tcPr>
            <w:tcW w:w="3954" w:type="dxa"/>
            <w:shd w:val="clear" w:color="auto" w:fill="EAEAEA"/>
            <w:vAlign w:val="center"/>
          </w:tcPr>
          <w:p w:rsidR="0044304A" w:rsidRPr="0044304A" w:rsidRDefault="0044304A" w:rsidP="00FA1525">
            <w:pPr>
              <w:ind w:left="57"/>
              <w:rPr>
                <w:rFonts w:cs="Open Sans"/>
                <w:sz w:val="16"/>
                <w:szCs w:val="16"/>
              </w:rPr>
            </w:pPr>
            <w:r w:rsidRPr="0044304A">
              <w:rPr>
                <w:rFonts w:cs="Open Sans"/>
                <w:sz w:val="16"/>
                <w:szCs w:val="16"/>
              </w:rPr>
              <w:t>Eröffnete Insolvenzen</w:t>
            </w:r>
          </w:p>
        </w:tc>
        <w:tc>
          <w:tcPr>
            <w:tcW w:w="1402"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2.467</w:t>
            </w:r>
          </w:p>
        </w:tc>
        <w:tc>
          <w:tcPr>
            <w:tcW w:w="1361"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2.155</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+312</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+14,5</w:t>
            </w:r>
          </w:p>
        </w:tc>
      </w:tr>
      <w:tr w:rsidR="0044304A" w:rsidRPr="00962200" w:rsidTr="0044304A">
        <w:trPr>
          <w:trHeight w:val="510"/>
          <w:jc w:val="center"/>
        </w:trPr>
        <w:tc>
          <w:tcPr>
            <w:tcW w:w="3954" w:type="dxa"/>
            <w:vAlign w:val="center"/>
          </w:tcPr>
          <w:p w:rsidR="0044304A" w:rsidRPr="0044304A" w:rsidRDefault="0044304A" w:rsidP="0044304A">
            <w:pPr>
              <w:ind w:left="113"/>
              <w:jc w:val="left"/>
              <w:rPr>
                <w:rFonts w:cs="Open Sans"/>
                <w:sz w:val="16"/>
                <w:szCs w:val="16"/>
              </w:rPr>
            </w:pPr>
            <w:r w:rsidRPr="0044304A">
              <w:rPr>
                <w:rFonts w:cs="Open Sans"/>
                <w:sz w:val="16"/>
                <w:szCs w:val="16"/>
              </w:rPr>
              <w:t xml:space="preserve">  davon eröffnete Konkursverfahren</w:t>
            </w:r>
          </w:p>
        </w:tc>
        <w:tc>
          <w:tcPr>
            <w:tcW w:w="1402" w:type="dxa"/>
            <w:vAlign w:val="center"/>
          </w:tcPr>
          <w:p w:rsidR="0044304A" w:rsidRPr="0044304A" w:rsidRDefault="0044304A" w:rsidP="00FA1525">
            <w:pPr>
              <w:jc w:val="center"/>
              <w:rPr>
                <w:rFonts w:cs="Open Sans"/>
                <w:sz w:val="16"/>
                <w:szCs w:val="16"/>
              </w:rPr>
            </w:pPr>
            <w:r w:rsidRPr="0044304A">
              <w:rPr>
                <w:rFonts w:cs="Open Sans"/>
                <w:sz w:val="16"/>
                <w:szCs w:val="16"/>
              </w:rPr>
              <w:t>2.127</w:t>
            </w:r>
          </w:p>
        </w:tc>
        <w:tc>
          <w:tcPr>
            <w:tcW w:w="1361" w:type="dxa"/>
            <w:vAlign w:val="center"/>
          </w:tcPr>
          <w:p w:rsidR="0044304A" w:rsidRPr="0044304A" w:rsidRDefault="0044304A" w:rsidP="00FA1525">
            <w:pPr>
              <w:jc w:val="center"/>
              <w:rPr>
                <w:rFonts w:cs="Open Sans"/>
                <w:sz w:val="16"/>
                <w:szCs w:val="16"/>
              </w:rPr>
            </w:pPr>
            <w:r w:rsidRPr="0044304A">
              <w:rPr>
                <w:rFonts w:cs="Open Sans"/>
                <w:sz w:val="16"/>
                <w:szCs w:val="16"/>
              </w:rPr>
              <w:t>1.926</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+201</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+10,4</w:t>
            </w:r>
          </w:p>
        </w:tc>
      </w:tr>
      <w:tr w:rsidR="0044304A" w:rsidRPr="009D5EFF" w:rsidTr="0044304A">
        <w:trPr>
          <w:trHeight w:val="510"/>
          <w:jc w:val="center"/>
        </w:trPr>
        <w:tc>
          <w:tcPr>
            <w:tcW w:w="3954" w:type="dxa"/>
            <w:shd w:val="clear" w:color="auto" w:fill="EAEAEA"/>
            <w:vAlign w:val="center"/>
          </w:tcPr>
          <w:p w:rsidR="0044304A" w:rsidRPr="0044304A" w:rsidRDefault="0044304A" w:rsidP="0044304A">
            <w:pPr>
              <w:ind w:left="113"/>
              <w:jc w:val="left"/>
              <w:rPr>
                <w:rFonts w:cs="Open Sans"/>
                <w:sz w:val="16"/>
                <w:szCs w:val="16"/>
              </w:rPr>
            </w:pPr>
            <w:r w:rsidRPr="0044304A">
              <w:rPr>
                <w:rFonts w:cs="Open Sans"/>
                <w:sz w:val="16"/>
                <w:szCs w:val="16"/>
              </w:rPr>
              <w:t xml:space="preserve">  davon eröffnete Sanierungsverfahren </w:t>
            </w:r>
          </w:p>
          <w:p w:rsidR="0044304A" w:rsidRPr="0044304A" w:rsidRDefault="0044304A" w:rsidP="0044304A">
            <w:pPr>
              <w:ind w:left="113"/>
              <w:jc w:val="left"/>
              <w:rPr>
                <w:rFonts w:cs="Open Sans"/>
                <w:sz w:val="16"/>
                <w:szCs w:val="16"/>
              </w:rPr>
            </w:pPr>
            <w:r w:rsidRPr="0044304A">
              <w:rPr>
                <w:rFonts w:cs="Open Sans"/>
                <w:sz w:val="16"/>
                <w:szCs w:val="16"/>
              </w:rPr>
              <w:t xml:space="preserve">  mit Eigenverwaltung </w:t>
            </w:r>
          </w:p>
        </w:tc>
        <w:tc>
          <w:tcPr>
            <w:tcW w:w="1402"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36</w:t>
            </w:r>
          </w:p>
        </w:tc>
        <w:tc>
          <w:tcPr>
            <w:tcW w:w="1361"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17</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+19</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+111,8</w:t>
            </w:r>
          </w:p>
        </w:tc>
      </w:tr>
      <w:tr w:rsidR="0044304A" w:rsidRPr="00962200" w:rsidTr="0044304A">
        <w:trPr>
          <w:trHeight w:val="510"/>
          <w:jc w:val="center"/>
        </w:trPr>
        <w:tc>
          <w:tcPr>
            <w:tcW w:w="3954" w:type="dxa"/>
            <w:vAlign w:val="center"/>
          </w:tcPr>
          <w:p w:rsidR="0044304A" w:rsidRPr="0044304A" w:rsidRDefault="0044304A" w:rsidP="0044304A">
            <w:pPr>
              <w:ind w:left="113"/>
              <w:jc w:val="left"/>
              <w:rPr>
                <w:rFonts w:cs="Open Sans"/>
                <w:sz w:val="16"/>
                <w:szCs w:val="16"/>
              </w:rPr>
            </w:pPr>
            <w:r w:rsidRPr="0044304A">
              <w:rPr>
                <w:rFonts w:cs="Open Sans"/>
                <w:sz w:val="16"/>
                <w:szCs w:val="16"/>
              </w:rPr>
              <w:t xml:space="preserve">  davon eröffnete Sanierungsverfahren </w:t>
            </w:r>
            <w:r w:rsidRPr="0044304A">
              <w:rPr>
                <w:rFonts w:cs="Open Sans"/>
                <w:sz w:val="16"/>
                <w:szCs w:val="16"/>
              </w:rPr>
              <w:br/>
              <w:t xml:space="preserve">  ohne Eigenverwaltung</w:t>
            </w:r>
          </w:p>
        </w:tc>
        <w:tc>
          <w:tcPr>
            <w:tcW w:w="1402" w:type="dxa"/>
            <w:vAlign w:val="center"/>
          </w:tcPr>
          <w:p w:rsidR="0044304A" w:rsidRPr="0044304A" w:rsidRDefault="0044304A" w:rsidP="00FA1525">
            <w:pPr>
              <w:jc w:val="center"/>
              <w:rPr>
                <w:rFonts w:cs="Open Sans"/>
                <w:sz w:val="16"/>
                <w:szCs w:val="16"/>
              </w:rPr>
            </w:pPr>
            <w:r w:rsidRPr="0044304A">
              <w:rPr>
                <w:rFonts w:cs="Open Sans"/>
                <w:sz w:val="16"/>
                <w:szCs w:val="16"/>
              </w:rPr>
              <w:t>304</w:t>
            </w:r>
          </w:p>
        </w:tc>
        <w:tc>
          <w:tcPr>
            <w:tcW w:w="1361" w:type="dxa"/>
            <w:vAlign w:val="center"/>
          </w:tcPr>
          <w:p w:rsidR="0044304A" w:rsidRPr="0044304A" w:rsidRDefault="0044304A" w:rsidP="00FA1525">
            <w:pPr>
              <w:jc w:val="center"/>
              <w:rPr>
                <w:rFonts w:cs="Open Sans"/>
                <w:sz w:val="16"/>
                <w:szCs w:val="16"/>
              </w:rPr>
            </w:pPr>
            <w:r w:rsidRPr="0044304A">
              <w:rPr>
                <w:rFonts w:cs="Open Sans"/>
                <w:sz w:val="16"/>
                <w:szCs w:val="16"/>
              </w:rPr>
              <w:t>212</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+92</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+43,4</w:t>
            </w:r>
          </w:p>
        </w:tc>
      </w:tr>
      <w:tr w:rsidR="0044304A" w:rsidRPr="009D5EFF" w:rsidTr="0044304A">
        <w:trPr>
          <w:trHeight w:val="510"/>
          <w:jc w:val="center"/>
        </w:trPr>
        <w:tc>
          <w:tcPr>
            <w:tcW w:w="3954" w:type="dxa"/>
            <w:shd w:val="clear" w:color="auto" w:fill="EAEAEA"/>
            <w:vAlign w:val="center"/>
          </w:tcPr>
          <w:p w:rsidR="0044304A" w:rsidRPr="0044304A" w:rsidRDefault="0044304A" w:rsidP="0044304A">
            <w:pPr>
              <w:ind w:left="57"/>
              <w:jc w:val="left"/>
              <w:rPr>
                <w:rFonts w:cs="Open Sans"/>
                <w:sz w:val="16"/>
                <w:szCs w:val="16"/>
              </w:rPr>
            </w:pPr>
            <w:r w:rsidRPr="0044304A">
              <w:rPr>
                <w:rFonts w:cs="Open Sans"/>
                <w:sz w:val="16"/>
                <w:szCs w:val="16"/>
              </w:rPr>
              <w:t>Mangels Vermögen abgewiesene</w:t>
            </w:r>
            <w:r>
              <w:rPr>
                <w:rFonts w:cs="Open Sans"/>
                <w:sz w:val="16"/>
                <w:szCs w:val="16"/>
              </w:rPr>
              <w:br/>
            </w:r>
            <w:r w:rsidRPr="0044304A">
              <w:rPr>
                <w:rFonts w:cs="Open Sans"/>
                <w:sz w:val="16"/>
                <w:szCs w:val="16"/>
              </w:rPr>
              <w:t>Insolvenzverfahren</w:t>
            </w:r>
          </w:p>
        </w:tc>
        <w:tc>
          <w:tcPr>
            <w:tcW w:w="1402"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1.549</w:t>
            </w:r>
          </w:p>
        </w:tc>
        <w:tc>
          <w:tcPr>
            <w:tcW w:w="1361"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1.477</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+72</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+4,9</w:t>
            </w:r>
          </w:p>
        </w:tc>
      </w:tr>
    </w:tbl>
    <w:p w:rsidR="0044304A" w:rsidRPr="0044304A" w:rsidRDefault="0044304A" w:rsidP="0044304A">
      <w:pPr>
        <w:rPr>
          <w:b/>
          <w:sz w:val="22"/>
          <w:szCs w:val="22"/>
        </w:rPr>
      </w:pPr>
      <w:r w:rsidRPr="0044304A">
        <w:rPr>
          <w:b/>
          <w:sz w:val="22"/>
          <w:szCs w:val="22"/>
        </w:rPr>
        <w:lastRenderedPageBreak/>
        <w:t>Bundesländervergleich</w:t>
      </w:r>
    </w:p>
    <w:p w:rsidR="0044304A" w:rsidRPr="0044304A" w:rsidRDefault="0044304A" w:rsidP="0044304A">
      <w:pPr>
        <w:rPr>
          <w:sz w:val="22"/>
          <w:szCs w:val="22"/>
        </w:rPr>
      </w:pPr>
      <w:r w:rsidRPr="0044304A">
        <w:rPr>
          <w:sz w:val="22"/>
          <w:szCs w:val="22"/>
        </w:rPr>
        <w:t>Den stärksten Zuwachs verzeichnen Kärnten (+34,3%), die Steiermark (+24,2%) und das Burgenland (+18,6%). Hingegen gehen die Insolvenzen in Tirol (-2,4%) als einzigem Bundesland zurück. Die höchste Insolvenzbetroffenheit herrscht in der Bundeshauptstadt mit 17 Insolvenzen pro 1.000 Unternehmen, die – traditionell - geringste in Vorarlberg mit 5 von 1.000 Unternehmen. Österreichweit müssen rund 11 von 1.000 Unternehmen einen Insolvenzantrag stellen.</w:t>
      </w:r>
    </w:p>
    <w:p w:rsidR="0044304A" w:rsidRDefault="0044304A" w:rsidP="0044304A">
      <w:pPr>
        <w:rPr>
          <w:sz w:val="22"/>
          <w:szCs w:val="22"/>
        </w:rPr>
      </w:pPr>
    </w:p>
    <w:p w:rsidR="0044304A" w:rsidRPr="0044304A" w:rsidRDefault="0044304A" w:rsidP="0044304A">
      <w:pPr>
        <w:rPr>
          <w:i/>
          <w:sz w:val="16"/>
          <w:szCs w:val="16"/>
        </w:rPr>
      </w:pPr>
      <w:r w:rsidRPr="0044304A">
        <w:rPr>
          <w:i/>
          <w:sz w:val="16"/>
          <w:szCs w:val="16"/>
        </w:rPr>
        <w:t>Tab.</w:t>
      </w:r>
      <w:r>
        <w:rPr>
          <w:i/>
          <w:sz w:val="16"/>
          <w:szCs w:val="16"/>
        </w:rPr>
        <w:t xml:space="preserve"> 2</w:t>
      </w:r>
      <w:r w:rsidRPr="0044304A">
        <w:rPr>
          <w:i/>
          <w:sz w:val="16"/>
          <w:szCs w:val="16"/>
        </w:rPr>
        <w:t xml:space="preserve">: Unternehmensinsolvenzen </w:t>
      </w:r>
      <w:r>
        <w:rPr>
          <w:i/>
          <w:sz w:val="16"/>
          <w:szCs w:val="16"/>
        </w:rPr>
        <w:t>je Bundesland</w:t>
      </w:r>
      <w:r w:rsidRPr="0044304A">
        <w:rPr>
          <w:i/>
          <w:sz w:val="16"/>
          <w:szCs w:val="16"/>
        </w:rPr>
        <w:t>, 1.-3. Quartal 2023</w:t>
      </w:r>
    </w:p>
    <w:tbl>
      <w:tblPr>
        <w:tblStyle w:val="Tabellenraster"/>
        <w:tblW w:w="9341" w:type="dxa"/>
        <w:jc w:val="center"/>
        <w:tblBorders>
          <w:top w:val="single" w:sz="12" w:space="0" w:color="009EE2"/>
          <w:left w:val="single" w:sz="12" w:space="0" w:color="009EE2"/>
          <w:bottom w:val="single" w:sz="12" w:space="0" w:color="009EE2"/>
          <w:right w:val="single" w:sz="12" w:space="0" w:color="009EE2"/>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253"/>
        <w:gridCol w:w="1559"/>
        <w:gridCol w:w="1444"/>
        <w:gridCol w:w="1361"/>
        <w:gridCol w:w="1361"/>
        <w:gridCol w:w="1363"/>
      </w:tblGrid>
      <w:tr w:rsidR="0044304A" w:rsidRPr="009D5EFF" w:rsidTr="0044304A">
        <w:trPr>
          <w:trHeight w:val="648"/>
          <w:jc w:val="center"/>
        </w:trPr>
        <w:tc>
          <w:tcPr>
            <w:tcW w:w="2253" w:type="dxa"/>
            <w:shd w:val="clear" w:color="auto" w:fill="B2B2B2"/>
            <w:vAlign w:val="bottom"/>
          </w:tcPr>
          <w:p w:rsidR="0044304A" w:rsidRPr="0044304A" w:rsidRDefault="0044304A" w:rsidP="00FA1525">
            <w:pPr>
              <w:rPr>
                <w:rFonts w:cs="Open Sans"/>
                <w:sz w:val="16"/>
                <w:szCs w:val="16"/>
              </w:rPr>
            </w:pPr>
            <w:r w:rsidRPr="0044304A">
              <w:rPr>
                <w:rFonts w:cs="Open Sans"/>
                <w:sz w:val="16"/>
                <w:szCs w:val="16"/>
              </w:rPr>
              <w:t> </w:t>
            </w:r>
          </w:p>
        </w:tc>
        <w:tc>
          <w:tcPr>
            <w:tcW w:w="1559"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1. – 3. Quartal 2023</w:t>
            </w:r>
          </w:p>
        </w:tc>
        <w:tc>
          <w:tcPr>
            <w:tcW w:w="1444"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1. - 3. Quartal 2022</w:t>
            </w:r>
          </w:p>
        </w:tc>
        <w:tc>
          <w:tcPr>
            <w:tcW w:w="1361"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Veränderung</w:t>
            </w:r>
            <w:r w:rsidRPr="0044304A">
              <w:rPr>
                <w:rFonts w:cs="Open Sans"/>
                <w:bCs/>
                <w:sz w:val="16"/>
                <w:szCs w:val="16"/>
              </w:rPr>
              <w:br/>
              <w:t>absolut</w:t>
            </w:r>
          </w:p>
        </w:tc>
        <w:tc>
          <w:tcPr>
            <w:tcW w:w="1361"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Veränderung</w:t>
            </w:r>
            <w:r w:rsidRPr="0044304A">
              <w:rPr>
                <w:rFonts w:cs="Open Sans"/>
                <w:bCs/>
                <w:sz w:val="16"/>
                <w:szCs w:val="16"/>
              </w:rPr>
              <w:br/>
              <w:t>in %</w:t>
            </w:r>
          </w:p>
        </w:tc>
        <w:tc>
          <w:tcPr>
            <w:tcW w:w="1363" w:type="dxa"/>
            <w:shd w:val="clear" w:color="auto" w:fill="B2B2B2"/>
            <w:vAlign w:val="center"/>
          </w:tcPr>
          <w:p w:rsidR="0044304A" w:rsidRPr="0044304A" w:rsidRDefault="0044304A" w:rsidP="00FA1525">
            <w:pPr>
              <w:jc w:val="center"/>
              <w:rPr>
                <w:rFonts w:cs="Open Sans"/>
                <w:sz w:val="16"/>
                <w:szCs w:val="16"/>
              </w:rPr>
            </w:pPr>
            <w:r w:rsidRPr="0044304A">
              <w:rPr>
                <w:rFonts w:cs="Open Sans"/>
                <w:sz w:val="16"/>
                <w:szCs w:val="16"/>
              </w:rPr>
              <w:t>Insolvenzen</w:t>
            </w:r>
            <w:r w:rsidRPr="0044304A">
              <w:rPr>
                <w:rFonts w:cs="Open Sans"/>
                <w:sz w:val="16"/>
                <w:szCs w:val="16"/>
              </w:rPr>
              <w:br/>
              <w:t>je 1.000</w:t>
            </w:r>
            <w:r w:rsidRPr="0044304A">
              <w:rPr>
                <w:rFonts w:cs="Open Sans"/>
                <w:sz w:val="16"/>
                <w:szCs w:val="16"/>
              </w:rPr>
              <w:br/>
            </w:r>
            <w:r w:rsidRPr="0044304A">
              <w:rPr>
                <w:rFonts w:cs="Open Sans"/>
                <w:spacing w:val="-6"/>
                <w:sz w:val="16"/>
                <w:szCs w:val="16"/>
              </w:rPr>
              <w:t>Unternehmen</w:t>
            </w:r>
          </w:p>
        </w:tc>
      </w:tr>
      <w:tr w:rsidR="0044304A" w:rsidTr="0044304A">
        <w:trPr>
          <w:trHeight w:val="397"/>
          <w:jc w:val="center"/>
        </w:trPr>
        <w:tc>
          <w:tcPr>
            <w:tcW w:w="2253" w:type="dxa"/>
            <w:vAlign w:val="center"/>
          </w:tcPr>
          <w:p w:rsidR="0044304A" w:rsidRPr="0044304A" w:rsidRDefault="0044304A" w:rsidP="00FA1525">
            <w:pPr>
              <w:rPr>
                <w:rFonts w:cs="Open Sans"/>
                <w:sz w:val="16"/>
                <w:szCs w:val="16"/>
              </w:rPr>
            </w:pPr>
            <w:r w:rsidRPr="0044304A">
              <w:rPr>
                <w:rFonts w:cs="Open Sans"/>
                <w:sz w:val="16"/>
                <w:szCs w:val="16"/>
              </w:rPr>
              <w:t>Wien</w:t>
            </w:r>
          </w:p>
        </w:tc>
        <w:tc>
          <w:tcPr>
            <w:tcW w:w="1559" w:type="dxa"/>
            <w:vAlign w:val="center"/>
          </w:tcPr>
          <w:p w:rsidR="0044304A" w:rsidRPr="0044304A" w:rsidRDefault="0044304A" w:rsidP="00FA1525">
            <w:pPr>
              <w:jc w:val="center"/>
              <w:rPr>
                <w:rFonts w:cs="Open Sans"/>
                <w:sz w:val="16"/>
                <w:szCs w:val="16"/>
              </w:rPr>
            </w:pPr>
            <w:r w:rsidRPr="0044304A">
              <w:rPr>
                <w:rFonts w:cs="Open Sans"/>
                <w:sz w:val="16"/>
                <w:szCs w:val="16"/>
              </w:rPr>
              <w:t>1.416</w:t>
            </w:r>
          </w:p>
        </w:tc>
        <w:tc>
          <w:tcPr>
            <w:tcW w:w="1444" w:type="dxa"/>
            <w:vAlign w:val="center"/>
          </w:tcPr>
          <w:p w:rsidR="0044304A" w:rsidRPr="0044304A" w:rsidRDefault="0044304A" w:rsidP="00FA1525">
            <w:pPr>
              <w:jc w:val="center"/>
              <w:rPr>
                <w:rFonts w:cs="Open Sans"/>
                <w:sz w:val="16"/>
                <w:szCs w:val="16"/>
              </w:rPr>
            </w:pPr>
            <w:r w:rsidRPr="0044304A">
              <w:rPr>
                <w:rFonts w:cs="Open Sans"/>
                <w:sz w:val="16"/>
                <w:szCs w:val="16"/>
              </w:rPr>
              <w:t>1.288</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+128</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+9,9</w:t>
            </w:r>
          </w:p>
        </w:tc>
        <w:tc>
          <w:tcPr>
            <w:tcW w:w="1363" w:type="dxa"/>
            <w:vAlign w:val="center"/>
          </w:tcPr>
          <w:p w:rsidR="0044304A" w:rsidRPr="0044304A" w:rsidRDefault="0044304A" w:rsidP="00FA1525">
            <w:pPr>
              <w:jc w:val="center"/>
              <w:rPr>
                <w:rFonts w:cs="Open Sans"/>
                <w:sz w:val="16"/>
                <w:szCs w:val="16"/>
              </w:rPr>
            </w:pPr>
            <w:r w:rsidRPr="0044304A">
              <w:rPr>
                <w:rFonts w:cs="Open Sans"/>
                <w:sz w:val="16"/>
                <w:szCs w:val="16"/>
              </w:rPr>
              <w:t>17,1</w:t>
            </w:r>
          </w:p>
        </w:tc>
      </w:tr>
      <w:tr w:rsidR="0044304A" w:rsidTr="0044304A">
        <w:trPr>
          <w:trHeight w:val="397"/>
          <w:jc w:val="center"/>
        </w:trPr>
        <w:tc>
          <w:tcPr>
            <w:tcW w:w="2253"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Niederösterreich</w:t>
            </w:r>
          </w:p>
        </w:tc>
        <w:tc>
          <w:tcPr>
            <w:tcW w:w="1559"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795</w:t>
            </w:r>
          </w:p>
        </w:tc>
        <w:tc>
          <w:tcPr>
            <w:tcW w:w="1444"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732</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+63</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+8,6</w:t>
            </w:r>
          </w:p>
        </w:tc>
        <w:tc>
          <w:tcPr>
            <w:tcW w:w="136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12,1</w:t>
            </w:r>
          </w:p>
        </w:tc>
      </w:tr>
      <w:tr w:rsidR="0044304A" w:rsidTr="0044304A">
        <w:trPr>
          <w:trHeight w:val="397"/>
          <w:jc w:val="center"/>
        </w:trPr>
        <w:tc>
          <w:tcPr>
            <w:tcW w:w="2253" w:type="dxa"/>
            <w:vAlign w:val="center"/>
          </w:tcPr>
          <w:p w:rsidR="0044304A" w:rsidRPr="0044304A" w:rsidRDefault="0044304A" w:rsidP="00FA1525">
            <w:pPr>
              <w:rPr>
                <w:rFonts w:cs="Open Sans"/>
                <w:sz w:val="16"/>
                <w:szCs w:val="16"/>
              </w:rPr>
            </w:pPr>
            <w:r w:rsidRPr="0044304A">
              <w:rPr>
                <w:rFonts w:cs="Open Sans"/>
                <w:sz w:val="16"/>
                <w:szCs w:val="16"/>
              </w:rPr>
              <w:t>Burgenland</w:t>
            </w:r>
          </w:p>
        </w:tc>
        <w:tc>
          <w:tcPr>
            <w:tcW w:w="1559" w:type="dxa"/>
            <w:vAlign w:val="center"/>
          </w:tcPr>
          <w:p w:rsidR="0044304A" w:rsidRPr="0044304A" w:rsidRDefault="0044304A" w:rsidP="00FA1525">
            <w:pPr>
              <w:jc w:val="center"/>
              <w:rPr>
                <w:rFonts w:cs="Open Sans"/>
                <w:sz w:val="16"/>
                <w:szCs w:val="16"/>
              </w:rPr>
            </w:pPr>
            <w:r w:rsidRPr="0044304A">
              <w:rPr>
                <w:rFonts w:cs="Open Sans"/>
                <w:sz w:val="16"/>
                <w:szCs w:val="16"/>
              </w:rPr>
              <w:t>134</w:t>
            </w:r>
          </w:p>
        </w:tc>
        <w:tc>
          <w:tcPr>
            <w:tcW w:w="1444" w:type="dxa"/>
            <w:vAlign w:val="center"/>
          </w:tcPr>
          <w:p w:rsidR="0044304A" w:rsidRPr="0044304A" w:rsidRDefault="0044304A" w:rsidP="00FA1525">
            <w:pPr>
              <w:jc w:val="center"/>
              <w:rPr>
                <w:rFonts w:cs="Open Sans"/>
                <w:sz w:val="16"/>
                <w:szCs w:val="16"/>
              </w:rPr>
            </w:pPr>
            <w:r w:rsidRPr="0044304A">
              <w:rPr>
                <w:rFonts w:cs="Open Sans"/>
                <w:sz w:val="16"/>
                <w:szCs w:val="16"/>
              </w:rPr>
              <w:t>113</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+21</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+18,6</w:t>
            </w:r>
          </w:p>
        </w:tc>
        <w:tc>
          <w:tcPr>
            <w:tcW w:w="1363" w:type="dxa"/>
            <w:vAlign w:val="center"/>
          </w:tcPr>
          <w:p w:rsidR="0044304A" w:rsidRPr="0044304A" w:rsidRDefault="0044304A" w:rsidP="00FA1525">
            <w:pPr>
              <w:jc w:val="center"/>
              <w:rPr>
                <w:rFonts w:cs="Open Sans"/>
                <w:sz w:val="16"/>
                <w:szCs w:val="16"/>
              </w:rPr>
            </w:pPr>
            <w:r w:rsidRPr="0044304A">
              <w:rPr>
                <w:rFonts w:cs="Open Sans"/>
                <w:sz w:val="16"/>
                <w:szCs w:val="16"/>
              </w:rPr>
              <w:t>11,3</w:t>
            </w:r>
          </w:p>
        </w:tc>
      </w:tr>
      <w:tr w:rsidR="0044304A" w:rsidTr="0044304A">
        <w:trPr>
          <w:trHeight w:val="397"/>
          <w:jc w:val="center"/>
        </w:trPr>
        <w:tc>
          <w:tcPr>
            <w:tcW w:w="2253"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Steiermark</w:t>
            </w:r>
          </w:p>
        </w:tc>
        <w:tc>
          <w:tcPr>
            <w:tcW w:w="1559"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478</w:t>
            </w:r>
          </w:p>
        </w:tc>
        <w:tc>
          <w:tcPr>
            <w:tcW w:w="1444"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385</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+93</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+24,2</w:t>
            </w:r>
          </w:p>
        </w:tc>
        <w:tc>
          <w:tcPr>
            <w:tcW w:w="136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9,6</w:t>
            </w:r>
          </w:p>
        </w:tc>
      </w:tr>
      <w:tr w:rsidR="0044304A" w:rsidTr="0044304A">
        <w:trPr>
          <w:trHeight w:val="397"/>
          <w:jc w:val="center"/>
        </w:trPr>
        <w:tc>
          <w:tcPr>
            <w:tcW w:w="2253" w:type="dxa"/>
            <w:vAlign w:val="center"/>
          </w:tcPr>
          <w:p w:rsidR="0044304A" w:rsidRPr="0044304A" w:rsidRDefault="0044304A" w:rsidP="00FA1525">
            <w:pPr>
              <w:rPr>
                <w:rFonts w:cs="Open Sans"/>
                <w:sz w:val="16"/>
                <w:szCs w:val="16"/>
              </w:rPr>
            </w:pPr>
            <w:r w:rsidRPr="0044304A">
              <w:rPr>
                <w:rFonts w:cs="Open Sans"/>
                <w:sz w:val="16"/>
                <w:szCs w:val="16"/>
              </w:rPr>
              <w:t>Kärnten</w:t>
            </w:r>
          </w:p>
        </w:tc>
        <w:tc>
          <w:tcPr>
            <w:tcW w:w="1559" w:type="dxa"/>
            <w:vAlign w:val="center"/>
          </w:tcPr>
          <w:p w:rsidR="0044304A" w:rsidRPr="0044304A" w:rsidRDefault="0044304A" w:rsidP="00FA1525">
            <w:pPr>
              <w:jc w:val="center"/>
              <w:rPr>
                <w:rFonts w:cs="Open Sans"/>
                <w:sz w:val="16"/>
                <w:szCs w:val="16"/>
              </w:rPr>
            </w:pPr>
            <w:r w:rsidRPr="0044304A">
              <w:rPr>
                <w:rFonts w:cs="Open Sans"/>
                <w:sz w:val="16"/>
                <w:szCs w:val="16"/>
              </w:rPr>
              <w:t>231</w:t>
            </w:r>
          </w:p>
        </w:tc>
        <w:tc>
          <w:tcPr>
            <w:tcW w:w="1444" w:type="dxa"/>
            <w:vAlign w:val="center"/>
          </w:tcPr>
          <w:p w:rsidR="0044304A" w:rsidRPr="0044304A" w:rsidRDefault="0044304A" w:rsidP="00FA1525">
            <w:pPr>
              <w:jc w:val="center"/>
              <w:rPr>
                <w:rFonts w:cs="Open Sans"/>
                <w:sz w:val="16"/>
                <w:szCs w:val="16"/>
              </w:rPr>
            </w:pPr>
            <w:r w:rsidRPr="0044304A">
              <w:rPr>
                <w:rFonts w:cs="Open Sans"/>
                <w:sz w:val="16"/>
                <w:szCs w:val="16"/>
              </w:rPr>
              <w:t>172</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+59</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+34,3</w:t>
            </w:r>
          </w:p>
        </w:tc>
        <w:tc>
          <w:tcPr>
            <w:tcW w:w="1363" w:type="dxa"/>
            <w:vAlign w:val="center"/>
          </w:tcPr>
          <w:p w:rsidR="0044304A" w:rsidRPr="0044304A" w:rsidRDefault="0044304A" w:rsidP="00FA1525">
            <w:pPr>
              <w:jc w:val="center"/>
              <w:rPr>
                <w:rFonts w:cs="Open Sans"/>
                <w:sz w:val="16"/>
                <w:szCs w:val="16"/>
              </w:rPr>
            </w:pPr>
            <w:r w:rsidRPr="0044304A">
              <w:rPr>
                <w:rFonts w:cs="Open Sans"/>
                <w:sz w:val="16"/>
                <w:szCs w:val="16"/>
              </w:rPr>
              <w:t>9,5</w:t>
            </w:r>
          </w:p>
        </w:tc>
      </w:tr>
      <w:tr w:rsidR="0044304A" w:rsidTr="0044304A">
        <w:trPr>
          <w:trHeight w:val="397"/>
          <w:jc w:val="center"/>
        </w:trPr>
        <w:tc>
          <w:tcPr>
            <w:tcW w:w="2253"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Oberösterreich</w:t>
            </w:r>
          </w:p>
        </w:tc>
        <w:tc>
          <w:tcPr>
            <w:tcW w:w="1559"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410</w:t>
            </w:r>
          </w:p>
        </w:tc>
        <w:tc>
          <w:tcPr>
            <w:tcW w:w="1444"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401</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+9</w:t>
            </w:r>
          </w:p>
        </w:tc>
        <w:tc>
          <w:tcPr>
            <w:tcW w:w="1361"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+2,2</w:t>
            </w:r>
          </w:p>
        </w:tc>
        <w:tc>
          <w:tcPr>
            <w:tcW w:w="136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7,5</w:t>
            </w:r>
          </w:p>
        </w:tc>
      </w:tr>
      <w:tr w:rsidR="0044304A" w:rsidTr="0044304A">
        <w:trPr>
          <w:trHeight w:val="397"/>
          <w:jc w:val="center"/>
        </w:trPr>
        <w:tc>
          <w:tcPr>
            <w:tcW w:w="2253" w:type="dxa"/>
            <w:vAlign w:val="center"/>
          </w:tcPr>
          <w:p w:rsidR="0044304A" w:rsidRPr="0044304A" w:rsidRDefault="0044304A" w:rsidP="00FA1525">
            <w:pPr>
              <w:rPr>
                <w:rFonts w:cs="Open Sans"/>
                <w:sz w:val="16"/>
                <w:szCs w:val="16"/>
              </w:rPr>
            </w:pPr>
            <w:r w:rsidRPr="0044304A">
              <w:rPr>
                <w:rFonts w:cs="Open Sans"/>
                <w:sz w:val="16"/>
                <w:szCs w:val="16"/>
              </w:rPr>
              <w:t>Salzburg</w:t>
            </w:r>
          </w:p>
        </w:tc>
        <w:tc>
          <w:tcPr>
            <w:tcW w:w="1559" w:type="dxa"/>
            <w:vAlign w:val="center"/>
          </w:tcPr>
          <w:p w:rsidR="0044304A" w:rsidRPr="0044304A" w:rsidRDefault="0044304A" w:rsidP="00FA1525">
            <w:pPr>
              <w:jc w:val="center"/>
              <w:rPr>
                <w:rFonts w:cs="Open Sans"/>
                <w:sz w:val="16"/>
                <w:szCs w:val="16"/>
              </w:rPr>
            </w:pPr>
            <w:r w:rsidRPr="0044304A">
              <w:rPr>
                <w:rFonts w:cs="Open Sans"/>
                <w:sz w:val="16"/>
                <w:szCs w:val="16"/>
              </w:rPr>
              <w:t>219</w:t>
            </w:r>
          </w:p>
        </w:tc>
        <w:tc>
          <w:tcPr>
            <w:tcW w:w="1444" w:type="dxa"/>
            <w:vAlign w:val="center"/>
          </w:tcPr>
          <w:p w:rsidR="0044304A" w:rsidRPr="0044304A" w:rsidRDefault="0044304A" w:rsidP="00FA1525">
            <w:pPr>
              <w:jc w:val="center"/>
              <w:rPr>
                <w:rFonts w:cs="Open Sans"/>
                <w:sz w:val="16"/>
                <w:szCs w:val="16"/>
              </w:rPr>
            </w:pPr>
            <w:r w:rsidRPr="0044304A">
              <w:rPr>
                <w:rFonts w:cs="Open Sans"/>
                <w:sz w:val="16"/>
                <w:szCs w:val="16"/>
              </w:rPr>
              <w:t>207</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+12</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+5,8</w:t>
            </w:r>
          </w:p>
        </w:tc>
        <w:tc>
          <w:tcPr>
            <w:tcW w:w="1363" w:type="dxa"/>
            <w:vAlign w:val="center"/>
          </w:tcPr>
          <w:p w:rsidR="0044304A" w:rsidRPr="0044304A" w:rsidRDefault="0044304A" w:rsidP="00FA1525">
            <w:pPr>
              <w:jc w:val="center"/>
              <w:rPr>
                <w:rFonts w:cs="Open Sans"/>
                <w:sz w:val="16"/>
                <w:szCs w:val="16"/>
              </w:rPr>
            </w:pPr>
            <w:r w:rsidRPr="0044304A">
              <w:rPr>
                <w:rFonts w:cs="Open Sans"/>
                <w:sz w:val="16"/>
                <w:szCs w:val="16"/>
              </w:rPr>
              <w:t>7,8</w:t>
            </w:r>
          </w:p>
        </w:tc>
      </w:tr>
      <w:tr w:rsidR="0044304A" w:rsidTr="0044304A">
        <w:trPr>
          <w:trHeight w:val="397"/>
          <w:jc w:val="center"/>
        </w:trPr>
        <w:tc>
          <w:tcPr>
            <w:tcW w:w="2253"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Tirol</w:t>
            </w:r>
          </w:p>
        </w:tc>
        <w:tc>
          <w:tcPr>
            <w:tcW w:w="1559"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248</w:t>
            </w:r>
          </w:p>
        </w:tc>
        <w:tc>
          <w:tcPr>
            <w:tcW w:w="1444"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254</w:t>
            </w:r>
          </w:p>
        </w:tc>
        <w:tc>
          <w:tcPr>
            <w:tcW w:w="1361" w:type="dxa"/>
            <w:shd w:val="clear" w:color="auto" w:fill="EAEAEA"/>
            <w:vAlign w:val="center"/>
          </w:tcPr>
          <w:p w:rsidR="0044304A" w:rsidRPr="0044304A" w:rsidRDefault="0044304A" w:rsidP="00FA1525">
            <w:pPr>
              <w:jc w:val="center"/>
              <w:rPr>
                <w:rFonts w:cs="Open Sans"/>
                <w:color w:val="00B050"/>
                <w:sz w:val="16"/>
                <w:szCs w:val="16"/>
              </w:rPr>
            </w:pPr>
            <w:r w:rsidRPr="0044304A">
              <w:rPr>
                <w:rFonts w:cs="Open Sans"/>
                <w:color w:val="00B050"/>
                <w:sz w:val="16"/>
                <w:szCs w:val="16"/>
              </w:rPr>
              <w:t>-6</w:t>
            </w:r>
          </w:p>
        </w:tc>
        <w:tc>
          <w:tcPr>
            <w:tcW w:w="1361" w:type="dxa"/>
            <w:shd w:val="clear" w:color="auto" w:fill="EAEAEA"/>
            <w:vAlign w:val="center"/>
          </w:tcPr>
          <w:p w:rsidR="0044304A" w:rsidRPr="0044304A" w:rsidRDefault="0044304A" w:rsidP="00FA1525">
            <w:pPr>
              <w:jc w:val="center"/>
              <w:rPr>
                <w:rFonts w:cs="Open Sans"/>
                <w:color w:val="00B050"/>
                <w:sz w:val="16"/>
                <w:szCs w:val="16"/>
              </w:rPr>
            </w:pPr>
            <w:r w:rsidRPr="0044304A">
              <w:rPr>
                <w:rFonts w:cs="Open Sans"/>
                <w:color w:val="00B050"/>
                <w:sz w:val="16"/>
                <w:szCs w:val="16"/>
              </w:rPr>
              <w:t>-2,4</w:t>
            </w:r>
          </w:p>
        </w:tc>
        <w:tc>
          <w:tcPr>
            <w:tcW w:w="136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7,3</w:t>
            </w:r>
          </w:p>
        </w:tc>
      </w:tr>
      <w:tr w:rsidR="0044304A" w:rsidTr="0044304A">
        <w:trPr>
          <w:trHeight w:val="397"/>
          <w:jc w:val="center"/>
        </w:trPr>
        <w:tc>
          <w:tcPr>
            <w:tcW w:w="2253" w:type="dxa"/>
            <w:vAlign w:val="center"/>
          </w:tcPr>
          <w:p w:rsidR="0044304A" w:rsidRPr="0044304A" w:rsidRDefault="0044304A" w:rsidP="00FA1525">
            <w:pPr>
              <w:rPr>
                <w:rFonts w:cs="Open Sans"/>
                <w:sz w:val="16"/>
                <w:szCs w:val="16"/>
              </w:rPr>
            </w:pPr>
            <w:r w:rsidRPr="0044304A">
              <w:rPr>
                <w:rFonts w:cs="Open Sans"/>
                <w:sz w:val="16"/>
                <w:szCs w:val="16"/>
              </w:rPr>
              <w:t>Vorarlberg</w:t>
            </w:r>
          </w:p>
        </w:tc>
        <w:tc>
          <w:tcPr>
            <w:tcW w:w="1559" w:type="dxa"/>
            <w:vAlign w:val="center"/>
          </w:tcPr>
          <w:p w:rsidR="0044304A" w:rsidRPr="0044304A" w:rsidRDefault="0044304A" w:rsidP="00FA1525">
            <w:pPr>
              <w:jc w:val="center"/>
              <w:rPr>
                <w:rFonts w:cs="Open Sans"/>
                <w:sz w:val="16"/>
                <w:szCs w:val="16"/>
              </w:rPr>
            </w:pPr>
            <w:r w:rsidRPr="0044304A">
              <w:rPr>
                <w:rFonts w:cs="Open Sans"/>
                <w:sz w:val="16"/>
                <w:szCs w:val="16"/>
              </w:rPr>
              <w:t>85</w:t>
            </w:r>
          </w:p>
        </w:tc>
        <w:tc>
          <w:tcPr>
            <w:tcW w:w="1444" w:type="dxa"/>
            <w:vAlign w:val="center"/>
          </w:tcPr>
          <w:p w:rsidR="0044304A" w:rsidRPr="0044304A" w:rsidRDefault="0044304A" w:rsidP="00FA1525">
            <w:pPr>
              <w:jc w:val="center"/>
              <w:rPr>
                <w:rFonts w:cs="Open Sans"/>
                <w:sz w:val="16"/>
                <w:szCs w:val="16"/>
              </w:rPr>
            </w:pPr>
            <w:r w:rsidRPr="0044304A">
              <w:rPr>
                <w:rFonts w:cs="Open Sans"/>
                <w:sz w:val="16"/>
                <w:szCs w:val="16"/>
              </w:rPr>
              <w:t>80</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+5</w:t>
            </w:r>
          </w:p>
        </w:tc>
        <w:tc>
          <w:tcPr>
            <w:tcW w:w="1361"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+6,3</w:t>
            </w:r>
          </w:p>
        </w:tc>
        <w:tc>
          <w:tcPr>
            <w:tcW w:w="1363" w:type="dxa"/>
            <w:vAlign w:val="center"/>
          </w:tcPr>
          <w:p w:rsidR="0044304A" w:rsidRPr="0044304A" w:rsidRDefault="0044304A" w:rsidP="00FA1525">
            <w:pPr>
              <w:jc w:val="center"/>
              <w:rPr>
                <w:rFonts w:cs="Open Sans"/>
                <w:sz w:val="16"/>
                <w:szCs w:val="16"/>
              </w:rPr>
            </w:pPr>
            <w:r w:rsidRPr="0044304A">
              <w:rPr>
                <w:rFonts w:cs="Open Sans"/>
                <w:sz w:val="16"/>
                <w:szCs w:val="16"/>
              </w:rPr>
              <w:t>5,2</w:t>
            </w:r>
          </w:p>
        </w:tc>
      </w:tr>
      <w:tr w:rsidR="0044304A" w:rsidTr="0044304A">
        <w:trPr>
          <w:trHeight w:val="397"/>
          <w:jc w:val="center"/>
        </w:trPr>
        <w:tc>
          <w:tcPr>
            <w:tcW w:w="2253" w:type="dxa"/>
            <w:shd w:val="clear" w:color="auto" w:fill="EAEAEA"/>
            <w:vAlign w:val="center"/>
          </w:tcPr>
          <w:p w:rsidR="0044304A" w:rsidRPr="0044304A" w:rsidRDefault="0044304A" w:rsidP="00FA1525">
            <w:pPr>
              <w:rPr>
                <w:rFonts w:cs="Open Sans"/>
                <w:b/>
                <w:bCs/>
                <w:sz w:val="16"/>
                <w:szCs w:val="16"/>
              </w:rPr>
            </w:pPr>
            <w:r w:rsidRPr="0044304A">
              <w:rPr>
                <w:rFonts w:cs="Open Sans"/>
                <w:b/>
                <w:bCs/>
                <w:sz w:val="16"/>
                <w:szCs w:val="16"/>
              </w:rPr>
              <w:t>Gesamt</w:t>
            </w:r>
          </w:p>
        </w:tc>
        <w:tc>
          <w:tcPr>
            <w:tcW w:w="1559" w:type="dxa"/>
            <w:shd w:val="clear" w:color="auto" w:fill="EAEAEA"/>
            <w:vAlign w:val="center"/>
          </w:tcPr>
          <w:p w:rsidR="0044304A" w:rsidRPr="0044304A" w:rsidRDefault="0044304A" w:rsidP="00FA1525">
            <w:pPr>
              <w:jc w:val="center"/>
              <w:rPr>
                <w:rFonts w:cs="Open Sans"/>
                <w:b/>
                <w:bCs/>
                <w:sz w:val="16"/>
                <w:szCs w:val="16"/>
              </w:rPr>
            </w:pPr>
            <w:r w:rsidRPr="0044304A">
              <w:rPr>
                <w:rFonts w:cs="Open Sans"/>
                <w:b/>
                <w:bCs/>
                <w:sz w:val="16"/>
                <w:szCs w:val="16"/>
              </w:rPr>
              <w:t>4.016</w:t>
            </w:r>
          </w:p>
        </w:tc>
        <w:tc>
          <w:tcPr>
            <w:tcW w:w="1444" w:type="dxa"/>
            <w:shd w:val="clear" w:color="auto" w:fill="EAEAEA"/>
            <w:vAlign w:val="center"/>
          </w:tcPr>
          <w:p w:rsidR="0044304A" w:rsidRPr="0044304A" w:rsidRDefault="0044304A" w:rsidP="00FA1525">
            <w:pPr>
              <w:jc w:val="center"/>
              <w:rPr>
                <w:rFonts w:cs="Open Sans"/>
                <w:b/>
                <w:bCs/>
                <w:sz w:val="16"/>
                <w:szCs w:val="16"/>
              </w:rPr>
            </w:pPr>
            <w:r w:rsidRPr="0044304A">
              <w:rPr>
                <w:rFonts w:cs="Open Sans"/>
                <w:b/>
                <w:bCs/>
                <w:sz w:val="16"/>
                <w:szCs w:val="16"/>
              </w:rPr>
              <w:t>3.632</w:t>
            </w:r>
          </w:p>
        </w:tc>
        <w:tc>
          <w:tcPr>
            <w:tcW w:w="1361" w:type="dxa"/>
            <w:shd w:val="clear" w:color="auto" w:fill="EAEAEA"/>
            <w:vAlign w:val="center"/>
          </w:tcPr>
          <w:p w:rsidR="0044304A" w:rsidRPr="0044304A" w:rsidRDefault="0044304A" w:rsidP="00FA1525">
            <w:pPr>
              <w:jc w:val="center"/>
              <w:rPr>
                <w:rFonts w:cs="Open Sans"/>
                <w:b/>
                <w:bCs/>
                <w:color w:val="FF0000"/>
                <w:sz w:val="16"/>
                <w:szCs w:val="16"/>
              </w:rPr>
            </w:pPr>
            <w:r w:rsidRPr="0044304A">
              <w:rPr>
                <w:rFonts w:cs="Open Sans"/>
                <w:b/>
                <w:bCs/>
                <w:color w:val="FF0000"/>
                <w:sz w:val="16"/>
                <w:szCs w:val="16"/>
              </w:rPr>
              <w:t>+384</w:t>
            </w:r>
          </w:p>
        </w:tc>
        <w:tc>
          <w:tcPr>
            <w:tcW w:w="1361" w:type="dxa"/>
            <w:shd w:val="clear" w:color="auto" w:fill="EAEAEA"/>
            <w:vAlign w:val="center"/>
          </w:tcPr>
          <w:p w:rsidR="0044304A" w:rsidRPr="0044304A" w:rsidRDefault="0044304A" w:rsidP="00FA1525">
            <w:pPr>
              <w:jc w:val="center"/>
              <w:rPr>
                <w:rFonts w:cs="Open Sans"/>
                <w:b/>
                <w:bCs/>
                <w:color w:val="FF0000"/>
                <w:sz w:val="16"/>
                <w:szCs w:val="16"/>
              </w:rPr>
            </w:pPr>
            <w:r w:rsidRPr="0044304A">
              <w:rPr>
                <w:rFonts w:cs="Open Sans"/>
                <w:b/>
                <w:bCs/>
                <w:color w:val="FF0000"/>
                <w:sz w:val="16"/>
                <w:szCs w:val="16"/>
              </w:rPr>
              <w:t>+10,6</w:t>
            </w:r>
          </w:p>
        </w:tc>
        <w:tc>
          <w:tcPr>
            <w:tcW w:w="1363" w:type="dxa"/>
            <w:shd w:val="clear" w:color="auto" w:fill="EAEAEA"/>
            <w:vAlign w:val="center"/>
          </w:tcPr>
          <w:p w:rsidR="0044304A" w:rsidRPr="0044304A" w:rsidRDefault="0044304A" w:rsidP="00FA1525">
            <w:pPr>
              <w:jc w:val="center"/>
              <w:rPr>
                <w:rFonts w:cs="Open Sans"/>
                <w:b/>
                <w:bCs/>
                <w:sz w:val="16"/>
                <w:szCs w:val="16"/>
              </w:rPr>
            </w:pPr>
            <w:r w:rsidRPr="0044304A">
              <w:rPr>
                <w:rFonts w:cs="Open Sans"/>
                <w:b/>
                <w:bCs/>
                <w:sz w:val="16"/>
                <w:szCs w:val="16"/>
              </w:rPr>
              <w:t>10,9</w:t>
            </w:r>
          </w:p>
        </w:tc>
      </w:tr>
    </w:tbl>
    <w:p w:rsidR="0044304A" w:rsidRPr="0044304A" w:rsidRDefault="0044304A" w:rsidP="0044304A">
      <w:pPr>
        <w:rPr>
          <w:sz w:val="22"/>
          <w:szCs w:val="22"/>
        </w:rPr>
      </w:pPr>
    </w:p>
    <w:p w:rsidR="0044304A" w:rsidRPr="0044304A" w:rsidRDefault="0044304A" w:rsidP="0044304A">
      <w:pPr>
        <w:rPr>
          <w:b/>
          <w:sz w:val="22"/>
          <w:szCs w:val="22"/>
        </w:rPr>
      </w:pPr>
      <w:r w:rsidRPr="0044304A">
        <w:rPr>
          <w:b/>
          <w:sz w:val="22"/>
          <w:szCs w:val="22"/>
        </w:rPr>
        <w:t>Branchenvergleich: Starke Zuwächse im Tourismus und im Handel</w:t>
      </w:r>
    </w:p>
    <w:p w:rsidR="0044304A" w:rsidRPr="0044304A" w:rsidRDefault="0044304A" w:rsidP="0044304A">
      <w:pPr>
        <w:rPr>
          <w:sz w:val="22"/>
          <w:szCs w:val="22"/>
        </w:rPr>
      </w:pPr>
      <w:r w:rsidRPr="0044304A">
        <w:rPr>
          <w:sz w:val="22"/>
          <w:szCs w:val="22"/>
        </w:rPr>
        <w:t xml:space="preserve">Absolut betrachtet werden die meisten Insolvenzen im Handel (746), in den Unternehmensbezogenen Dienstleistungen (643) und im Bauwesen (634) gemeldet. </w:t>
      </w:r>
    </w:p>
    <w:p w:rsidR="0044304A" w:rsidRPr="0044304A" w:rsidRDefault="0044304A" w:rsidP="0044304A">
      <w:pPr>
        <w:rPr>
          <w:sz w:val="22"/>
          <w:szCs w:val="22"/>
        </w:rPr>
      </w:pPr>
      <w:r w:rsidRPr="0044304A">
        <w:rPr>
          <w:sz w:val="22"/>
          <w:szCs w:val="22"/>
        </w:rPr>
        <w:t>Am stärksten steigen die Insolvenzen im Beherbergungs- und Gaststättenwesen, i.e. Tourismus (+22,2%) und im Handel (+14,2%). Die konjunkturtreibenden Branchen Sachgütererzeugung/Industrie (+7,5%) und Bau (+6,0%) verzeichnen Zuwachsraten unter dem Österreichweiten Durchschnitt.</w:t>
      </w:r>
    </w:p>
    <w:p w:rsidR="0044304A" w:rsidRPr="0044304A" w:rsidRDefault="0044304A" w:rsidP="0044304A">
      <w:pPr>
        <w:rPr>
          <w:sz w:val="22"/>
          <w:szCs w:val="22"/>
        </w:rPr>
      </w:pPr>
      <w:r w:rsidRPr="0044304A">
        <w:rPr>
          <w:sz w:val="22"/>
          <w:szCs w:val="22"/>
        </w:rPr>
        <w:t>Die größte relative Insolvenzbetroffenheit herrscht im Transportwesen mit mehr als 28 von 1.000 Branchenunternehmen.</w:t>
      </w:r>
    </w:p>
    <w:p w:rsidR="0044304A" w:rsidRDefault="0044304A" w:rsidP="0044304A">
      <w:pPr>
        <w:rPr>
          <w:sz w:val="22"/>
          <w:szCs w:val="22"/>
        </w:rPr>
      </w:pPr>
    </w:p>
    <w:p w:rsidR="0044304A" w:rsidRPr="0044304A" w:rsidRDefault="0044304A" w:rsidP="0044304A">
      <w:pPr>
        <w:rPr>
          <w:i/>
          <w:sz w:val="16"/>
          <w:szCs w:val="16"/>
        </w:rPr>
      </w:pPr>
      <w:r w:rsidRPr="0044304A">
        <w:rPr>
          <w:i/>
          <w:sz w:val="16"/>
          <w:szCs w:val="16"/>
        </w:rPr>
        <w:t xml:space="preserve">Tab. </w:t>
      </w:r>
      <w:r>
        <w:rPr>
          <w:i/>
          <w:sz w:val="16"/>
          <w:szCs w:val="16"/>
        </w:rPr>
        <w:t>3</w:t>
      </w:r>
      <w:r w:rsidRPr="0044304A">
        <w:rPr>
          <w:i/>
          <w:sz w:val="16"/>
          <w:szCs w:val="16"/>
        </w:rPr>
        <w:t xml:space="preserve">: Unternehmensinsolvenzen </w:t>
      </w:r>
      <w:r>
        <w:rPr>
          <w:i/>
          <w:sz w:val="16"/>
          <w:szCs w:val="16"/>
        </w:rPr>
        <w:t>je Branche</w:t>
      </w:r>
      <w:r w:rsidRPr="0044304A">
        <w:rPr>
          <w:i/>
          <w:sz w:val="16"/>
          <w:szCs w:val="16"/>
        </w:rPr>
        <w:t>, 1.-3. Quartal 2023</w:t>
      </w:r>
    </w:p>
    <w:tbl>
      <w:tblPr>
        <w:tblStyle w:val="Tabellenraster"/>
        <w:tblW w:w="9342" w:type="dxa"/>
        <w:jc w:val="center"/>
        <w:tblBorders>
          <w:top w:val="single" w:sz="12" w:space="0" w:color="009EE2"/>
          <w:left w:val="single" w:sz="12" w:space="0" w:color="009EE2"/>
          <w:bottom w:val="single" w:sz="12" w:space="0" w:color="009EE2"/>
          <w:right w:val="single" w:sz="12" w:space="0" w:color="009EE2"/>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246"/>
        <w:gridCol w:w="1276"/>
        <w:gridCol w:w="1276"/>
        <w:gridCol w:w="1276"/>
        <w:gridCol w:w="1275"/>
        <w:gridCol w:w="993"/>
      </w:tblGrid>
      <w:tr w:rsidR="0044304A" w:rsidRPr="009D5EFF" w:rsidTr="00870547">
        <w:trPr>
          <w:trHeight w:val="572"/>
          <w:jc w:val="center"/>
        </w:trPr>
        <w:tc>
          <w:tcPr>
            <w:tcW w:w="3246" w:type="dxa"/>
            <w:shd w:val="clear" w:color="auto" w:fill="B2B2B2"/>
            <w:vAlign w:val="bottom"/>
          </w:tcPr>
          <w:p w:rsidR="0044304A" w:rsidRPr="0044304A" w:rsidRDefault="0044304A" w:rsidP="00FA1525">
            <w:pPr>
              <w:rPr>
                <w:rFonts w:cs="Open Sans"/>
                <w:sz w:val="16"/>
                <w:szCs w:val="16"/>
              </w:rPr>
            </w:pPr>
            <w:r w:rsidRPr="0044304A">
              <w:rPr>
                <w:rFonts w:cs="Open Sans"/>
                <w:sz w:val="16"/>
                <w:szCs w:val="16"/>
              </w:rPr>
              <w:t> </w:t>
            </w:r>
          </w:p>
        </w:tc>
        <w:tc>
          <w:tcPr>
            <w:tcW w:w="1276"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1. – 3. Quartal 2023</w:t>
            </w:r>
          </w:p>
        </w:tc>
        <w:tc>
          <w:tcPr>
            <w:tcW w:w="1276"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1. - 3. Quartal 2022</w:t>
            </w:r>
          </w:p>
        </w:tc>
        <w:tc>
          <w:tcPr>
            <w:tcW w:w="1276"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Veränderung</w:t>
            </w:r>
            <w:r w:rsidRPr="0044304A">
              <w:rPr>
                <w:rFonts w:cs="Open Sans"/>
                <w:bCs/>
                <w:sz w:val="16"/>
                <w:szCs w:val="16"/>
              </w:rPr>
              <w:br/>
              <w:t>absolut</w:t>
            </w:r>
          </w:p>
        </w:tc>
        <w:tc>
          <w:tcPr>
            <w:tcW w:w="1275" w:type="dxa"/>
            <w:shd w:val="clear" w:color="auto" w:fill="B2B2B2"/>
            <w:vAlign w:val="center"/>
          </w:tcPr>
          <w:p w:rsidR="0044304A" w:rsidRPr="0044304A" w:rsidRDefault="0044304A" w:rsidP="00FA1525">
            <w:pPr>
              <w:jc w:val="center"/>
              <w:rPr>
                <w:rFonts w:cs="Open Sans"/>
                <w:bCs/>
                <w:sz w:val="16"/>
                <w:szCs w:val="16"/>
              </w:rPr>
            </w:pPr>
            <w:r w:rsidRPr="0044304A">
              <w:rPr>
                <w:rFonts w:cs="Open Sans"/>
                <w:bCs/>
                <w:sz w:val="16"/>
                <w:szCs w:val="16"/>
              </w:rPr>
              <w:t>Veränderung</w:t>
            </w:r>
            <w:r w:rsidRPr="0044304A">
              <w:rPr>
                <w:rFonts w:cs="Open Sans"/>
                <w:bCs/>
                <w:sz w:val="16"/>
                <w:szCs w:val="16"/>
              </w:rPr>
              <w:br/>
              <w:t>in %</w:t>
            </w:r>
          </w:p>
        </w:tc>
        <w:tc>
          <w:tcPr>
            <w:tcW w:w="993" w:type="dxa"/>
            <w:shd w:val="clear" w:color="auto" w:fill="B2B2B2"/>
            <w:vAlign w:val="center"/>
          </w:tcPr>
          <w:p w:rsidR="0044304A" w:rsidRPr="0044304A" w:rsidRDefault="0044304A" w:rsidP="00FA1525">
            <w:pPr>
              <w:jc w:val="center"/>
              <w:rPr>
                <w:rFonts w:cs="Open Sans"/>
                <w:sz w:val="16"/>
                <w:szCs w:val="16"/>
              </w:rPr>
            </w:pPr>
            <w:r w:rsidRPr="0044304A">
              <w:rPr>
                <w:rFonts w:cs="Open Sans"/>
                <w:sz w:val="16"/>
                <w:szCs w:val="16"/>
              </w:rPr>
              <w:t>Insolvenz-quote</w:t>
            </w:r>
          </w:p>
        </w:tc>
      </w:tr>
      <w:tr w:rsidR="0044304A" w:rsidRPr="004B5784" w:rsidTr="00870547">
        <w:trPr>
          <w:trHeight w:val="510"/>
          <w:jc w:val="center"/>
        </w:trPr>
        <w:tc>
          <w:tcPr>
            <w:tcW w:w="3246" w:type="dxa"/>
            <w:vAlign w:val="center"/>
          </w:tcPr>
          <w:p w:rsidR="0044304A" w:rsidRPr="0044304A" w:rsidRDefault="0044304A" w:rsidP="00FA1525">
            <w:pPr>
              <w:rPr>
                <w:rFonts w:cs="Open Sans"/>
                <w:sz w:val="16"/>
                <w:szCs w:val="16"/>
              </w:rPr>
            </w:pPr>
            <w:r w:rsidRPr="0044304A">
              <w:rPr>
                <w:rFonts w:cs="Open Sans"/>
                <w:sz w:val="16"/>
                <w:szCs w:val="16"/>
              </w:rPr>
              <w:t>Sachgütererzeugung</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143</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133</w:t>
            </w:r>
          </w:p>
        </w:tc>
        <w:tc>
          <w:tcPr>
            <w:tcW w:w="1276"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+10</w:t>
            </w:r>
          </w:p>
        </w:tc>
        <w:tc>
          <w:tcPr>
            <w:tcW w:w="1275"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+7,5</w:t>
            </w:r>
          </w:p>
        </w:tc>
        <w:tc>
          <w:tcPr>
            <w:tcW w:w="993" w:type="dxa"/>
            <w:vAlign w:val="center"/>
          </w:tcPr>
          <w:p w:rsidR="0044304A" w:rsidRPr="0044304A" w:rsidRDefault="0044304A" w:rsidP="00FA1525">
            <w:pPr>
              <w:jc w:val="center"/>
              <w:rPr>
                <w:rFonts w:cs="Open Sans"/>
                <w:sz w:val="16"/>
                <w:szCs w:val="16"/>
              </w:rPr>
            </w:pPr>
            <w:r w:rsidRPr="0044304A">
              <w:rPr>
                <w:rFonts w:cs="Open Sans"/>
                <w:sz w:val="16"/>
                <w:szCs w:val="16"/>
              </w:rPr>
              <w:t>5,0</w:t>
            </w:r>
          </w:p>
        </w:tc>
      </w:tr>
      <w:tr w:rsidR="0044304A" w:rsidRPr="004B5784" w:rsidTr="00870547">
        <w:trPr>
          <w:trHeight w:val="510"/>
          <w:jc w:val="center"/>
        </w:trPr>
        <w:tc>
          <w:tcPr>
            <w:tcW w:w="3246"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Bauwesen</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634</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598</w:t>
            </w:r>
          </w:p>
        </w:tc>
        <w:tc>
          <w:tcPr>
            <w:tcW w:w="1276"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+36</w:t>
            </w:r>
          </w:p>
        </w:tc>
        <w:tc>
          <w:tcPr>
            <w:tcW w:w="1275"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+6,0</w:t>
            </w:r>
          </w:p>
        </w:tc>
        <w:tc>
          <w:tcPr>
            <w:tcW w:w="99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26,2</w:t>
            </w:r>
          </w:p>
        </w:tc>
      </w:tr>
      <w:tr w:rsidR="0044304A" w:rsidRPr="004B5784" w:rsidTr="00870547">
        <w:trPr>
          <w:trHeight w:val="510"/>
          <w:jc w:val="center"/>
        </w:trPr>
        <w:tc>
          <w:tcPr>
            <w:tcW w:w="3246" w:type="dxa"/>
            <w:vAlign w:val="center"/>
          </w:tcPr>
          <w:p w:rsidR="0044304A" w:rsidRPr="0044304A" w:rsidRDefault="0044304A" w:rsidP="00FA1525">
            <w:pPr>
              <w:rPr>
                <w:rFonts w:cs="Open Sans"/>
                <w:sz w:val="16"/>
                <w:szCs w:val="16"/>
              </w:rPr>
            </w:pPr>
            <w:r w:rsidRPr="0044304A">
              <w:rPr>
                <w:rFonts w:cs="Open Sans"/>
                <w:sz w:val="16"/>
                <w:szCs w:val="16"/>
              </w:rPr>
              <w:t>Handel</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746</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653</w:t>
            </w:r>
          </w:p>
        </w:tc>
        <w:tc>
          <w:tcPr>
            <w:tcW w:w="1276"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+93</w:t>
            </w:r>
          </w:p>
        </w:tc>
        <w:tc>
          <w:tcPr>
            <w:tcW w:w="1275"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+14,2</w:t>
            </w:r>
          </w:p>
        </w:tc>
        <w:tc>
          <w:tcPr>
            <w:tcW w:w="993" w:type="dxa"/>
            <w:vAlign w:val="center"/>
          </w:tcPr>
          <w:p w:rsidR="0044304A" w:rsidRPr="0044304A" w:rsidRDefault="0044304A" w:rsidP="00FA1525">
            <w:pPr>
              <w:jc w:val="center"/>
              <w:rPr>
                <w:rFonts w:cs="Open Sans"/>
                <w:sz w:val="16"/>
                <w:szCs w:val="16"/>
              </w:rPr>
            </w:pPr>
            <w:r w:rsidRPr="0044304A">
              <w:rPr>
                <w:rFonts w:cs="Open Sans"/>
                <w:sz w:val="16"/>
                <w:szCs w:val="16"/>
              </w:rPr>
              <w:t>9,7</w:t>
            </w:r>
          </w:p>
        </w:tc>
      </w:tr>
      <w:tr w:rsidR="0044304A" w:rsidRPr="004B5784" w:rsidTr="00870547">
        <w:trPr>
          <w:trHeight w:val="510"/>
          <w:jc w:val="center"/>
        </w:trPr>
        <w:tc>
          <w:tcPr>
            <w:tcW w:w="3246"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Beherbergungs- und Gaststättenwesen</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512</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419</w:t>
            </w:r>
          </w:p>
        </w:tc>
        <w:tc>
          <w:tcPr>
            <w:tcW w:w="1276"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+93</w:t>
            </w:r>
          </w:p>
        </w:tc>
        <w:tc>
          <w:tcPr>
            <w:tcW w:w="1275"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+22,2</w:t>
            </w:r>
          </w:p>
        </w:tc>
        <w:tc>
          <w:tcPr>
            <w:tcW w:w="99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11,6</w:t>
            </w:r>
          </w:p>
        </w:tc>
      </w:tr>
      <w:tr w:rsidR="0044304A" w:rsidRPr="004B5784" w:rsidTr="00870547">
        <w:trPr>
          <w:trHeight w:val="510"/>
          <w:jc w:val="center"/>
        </w:trPr>
        <w:tc>
          <w:tcPr>
            <w:tcW w:w="3246" w:type="dxa"/>
            <w:vAlign w:val="center"/>
          </w:tcPr>
          <w:p w:rsidR="0044304A" w:rsidRPr="0044304A" w:rsidRDefault="0044304A" w:rsidP="0044304A">
            <w:pPr>
              <w:jc w:val="left"/>
              <w:rPr>
                <w:rFonts w:cs="Open Sans"/>
                <w:sz w:val="16"/>
                <w:szCs w:val="16"/>
              </w:rPr>
            </w:pPr>
            <w:r w:rsidRPr="0044304A">
              <w:rPr>
                <w:rFonts w:cs="Open Sans"/>
                <w:sz w:val="16"/>
                <w:szCs w:val="16"/>
              </w:rPr>
              <w:lastRenderedPageBreak/>
              <w:t>Verkehr- und Nachrichten</w:t>
            </w:r>
            <w:r>
              <w:rPr>
                <w:rFonts w:cs="Open Sans"/>
                <w:sz w:val="16"/>
                <w:szCs w:val="16"/>
              </w:rPr>
              <w:t>-</w:t>
            </w:r>
            <w:r>
              <w:rPr>
                <w:rFonts w:cs="Open Sans"/>
                <w:sz w:val="16"/>
                <w:szCs w:val="16"/>
              </w:rPr>
              <w:br/>
            </w:r>
            <w:proofErr w:type="spellStart"/>
            <w:r w:rsidRPr="0044304A">
              <w:rPr>
                <w:rFonts w:cs="Open Sans"/>
                <w:sz w:val="16"/>
                <w:szCs w:val="16"/>
              </w:rPr>
              <w:t>übermittlung</w:t>
            </w:r>
            <w:proofErr w:type="spellEnd"/>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420</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423</w:t>
            </w:r>
          </w:p>
        </w:tc>
        <w:tc>
          <w:tcPr>
            <w:tcW w:w="1276" w:type="dxa"/>
            <w:vAlign w:val="center"/>
          </w:tcPr>
          <w:p w:rsidR="0044304A" w:rsidRPr="0044304A" w:rsidRDefault="0044304A" w:rsidP="00FA1525">
            <w:pPr>
              <w:jc w:val="center"/>
              <w:rPr>
                <w:rFonts w:cs="Open Sans"/>
                <w:color w:val="00B050"/>
                <w:sz w:val="16"/>
                <w:szCs w:val="16"/>
              </w:rPr>
            </w:pPr>
            <w:r w:rsidRPr="0044304A">
              <w:rPr>
                <w:rFonts w:cs="Open Sans"/>
                <w:color w:val="00B050"/>
                <w:sz w:val="16"/>
                <w:szCs w:val="16"/>
              </w:rPr>
              <w:t>-3</w:t>
            </w:r>
          </w:p>
        </w:tc>
        <w:tc>
          <w:tcPr>
            <w:tcW w:w="1275" w:type="dxa"/>
            <w:vAlign w:val="center"/>
          </w:tcPr>
          <w:p w:rsidR="0044304A" w:rsidRPr="0044304A" w:rsidRDefault="0044304A" w:rsidP="00FA1525">
            <w:pPr>
              <w:jc w:val="center"/>
              <w:rPr>
                <w:rFonts w:cs="Open Sans"/>
                <w:color w:val="00B050"/>
                <w:sz w:val="16"/>
                <w:szCs w:val="16"/>
              </w:rPr>
            </w:pPr>
            <w:r w:rsidRPr="0044304A">
              <w:rPr>
                <w:rFonts w:cs="Open Sans"/>
                <w:color w:val="00B050"/>
                <w:sz w:val="16"/>
                <w:szCs w:val="16"/>
              </w:rPr>
              <w:t>-0,7</w:t>
            </w:r>
          </w:p>
        </w:tc>
        <w:tc>
          <w:tcPr>
            <w:tcW w:w="993" w:type="dxa"/>
            <w:vAlign w:val="center"/>
          </w:tcPr>
          <w:p w:rsidR="0044304A" w:rsidRPr="0044304A" w:rsidRDefault="0044304A" w:rsidP="00FA1525">
            <w:pPr>
              <w:jc w:val="center"/>
              <w:rPr>
                <w:rFonts w:cs="Open Sans"/>
                <w:sz w:val="16"/>
                <w:szCs w:val="16"/>
              </w:rPr>
            </w:pPr>
            <w:r w:rsidRPr="0044304A">
              <w:rPr>
                <w:rFonts w:cs="Open Sans"/>
                <w:sz w:val="16"/>
                <w:szCs w:val="16"/>
              </w:rPr>
              <w:t>28,5</w:t>
            </w:r>
          </w:p>
        </w:tc>
      </w:tr>
      <w:tr w:rsidR="0044304A" w:rsidRPr="004B5784" w:rsidTr="00870547">
        <w:trPr>
          <w:trHeight w:val="510"/>
          <w:jc w:val="center"/>
        </w:trPr>
        <w:tc>
          <w:tcPr>
            <w:tcW w:w="3246"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Kredit- und Versicherungswesen</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85</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86</w:t>
            </w:r>
          </w:p>
        </w:tc>
        <w:tc>
          <w:tcPr>
            <w:tcW w:w="1276" w:type="dxa"/>
            <w:shd w:val="clear" w:color="auto" w:fill="EAEAEA"/>
            <w:vAlign w:val="center"/>
          </w:tcPr>
          <w:p w:rsidR="0044304A" w:rsidRPr="0044304A" w:rsidRDefault="0044304A" w:rsidP="00FA1525">
            <w:pPr>
              <w:jc w:val="center"/>
              <w:rPr>
                <w:rFonts w:cs="Open Sans"/>
                <w:color w:val="00B050"/>
                <w:sz w:val="16"/>
                <w:szCs w:val="16"/>
              </w:rPr>
            </w:pPr>
            <w:r w:rsidRPr="0044304A">
              <w:rPr>
                <w:rFonts w:cs="Open Sans"/>
                <w:color w:val="00B050"/>
                <w:sz w:val="16"/>
                <w:szCs w:val="16"/>
              </w:rPr>
              <w:t>-1</w:t>
            </w:r>
          </w:p>
        </w:tc>
        <w:tc>
          <w:tcPr>
            <w:tcW w:w="1275" w:type="dxa"/>
            <w:shd w:val="clear" w:color="auto" w:fill="EAEAEA"/>
            <w:vAlign w:val="center"/>
          </w:tcPr>
          <w:p w:rsidR="0044304A" w:rsidRPr="0044304A" w:rsidRDefault="0044304A" w:rsidP="00FA1525">
            <w:pPr>
              <w:jc w:val="center"/>
              <w:rPr>
                <w:rFonts w:cs="Open Sans"/>
                <w:color w:val="00B050"/>
                <w:sz w:val="16"/>
                <w:szCs w:val="16"/>
              </w:rPr>
            </w:pPr>
            <w:r w:rsidRPr="0044304A">
              <w:rPr>
                <w:rFonts w:cs="Open Sans"/>
                <w:color w:val="00B050"/>
                <w:sz w:val="16"/>
                <w:szCs w:val="16"/>
              </w:rPr>
              <w:t>-1,2</w:t>
            </w:r>
          </w:p>
        </w:tc>
        <w:tc>
          <w:tcPr>
            <w:tcW w:w="993"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15,2</w:t>
            </w:r>
          </w:p>
        </w:tc>
      </w:tr>
      <w:tr w:rsidR="0044304A" w:rsidRPr="004B5784" w:rsidTr="00870547">
        <w:trPr>
          <w:trHeight w:val="510"/>
          <w:jc w:val="center"/>
        </w:trPr>
        <w:tc>
          <w:tcPr>
            <w:tcW w:w="3246" w:type="dxa"/>
            <w:vAlign w:val="center"/>
          </w:tcPr>
          <w:p w:rsidR="0044304A" w:rsidRPr="0044304A" w:rsidRDefault="0044304A" w:rsidP="00FA1525">
            <w:pPr>
              <w:rPr>
                <w:rFonts w:cs="Open Sans"/>
                <w:sz w:val="16"/>
                <w:szCs w:val="16"/>
              </w:rPr>
            </w:pPr>
            <w:r w:rsidRPr="0044304A">
              <w:rPr>
                <w:rFonts w:cs="Open Sans"/>
                <w:sz w:val="16"/>
                <w:szCs w:val="16"/>
              </w:rPr>
              <w:t xml:space="preserve">Unternehmensbezogene </w:t>
            </w:r>
            <w:r>
              <w:rPr>
                <w:rFonts w:cs="Open Sans"/>
                <w:sz w:val="16"/>
                <w:szCs w:val="16"/>
              </w:rPr>
              <w:br/>
            </w:r>
            <w:r w:rsidRPr="0044304A">
              <w:rPr>
                <w:rFonts w:cs="Open Sans"/>
                <w:sz w:val="16"/>
                <w:szCs w:val="16"/>
              </w:rPr>
              <w:t>Dienstleistungen</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643</w:t>
            </w:r>
          </w:p>
        </w:tc>
        <w:tc>
          <w:tcPr>
            <w:tcW w:w="1276" w:type="dxa"/>
            <w:vAlign w:val="center"/>
          </w:tcPr>
          <w:p w:rsidR="0044304A" w:rsidRPr="0044304A" w:rsidRDefault="0044304A" w:rsidP="00FA1525">
            <w:pPr>
              <w:jc w:val="center"/>
              <w:rPr>
                <w:rFonts w:cs="Open Sans"/>
                <w:sz w:val="16"/>
                <w:szCs w:val="16"/>
              </w:rPr>
            </w:pPr>
            <w:r w:rsidRPr="0044304A">
              <w:rPr>
                <w:rFonts w:cs="Open Sans"/>
                <w:sz w:val="16"/>
                <w:szCs w:val="16"/>
              </w:rPr>
              <w:t>627</w:t>
            </w:r>
          </w:p>
        </w:tc>
        <w:tc>
          <w:tcPr>
            <w:tcW w:w="1276"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+16</w:t>
            </w:r>
          </w:p>
        </w:tc>
        <w:tc>
          <w:tcPr>
            <w:tcW w:w="1275" w:type="dx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+2,6</w:t>
            </w:r>
          </w:p>
        </w:tc>
        <w:tc>
          <w:tcPr>
            <w:tcW w:w="993" w:type="dxa"/>
            <w:vAlign w:val="center"/>
          </w:tcPr>
          <w:p w:rsidR="0044304A" w:rsidRPr="0044304A" w:rsidRDefault="0044304A" w:rsidP="00FA1525">
            <w:pPr>
              <w:jc w:val="center"/>
              <w:rPr>
                <w:rFonts w:cs="Open Sans"/>
                <w:sz w:val="16"/>
                <w:szCs w:val="16"/>
              </w:rPr>
            </w:pPr>
            <w:r w:rsidRPr="0044304A">
              <w:rPr>
                <w:rFonts w:cs="Open Sans"/>
                <w:sz w:val="16"/>
                <w:szCs w:val="16"/>
              </w:rPr>
              <w:t>8,6</w:t>
            </w:r>
          </w:p>
        </w:tc>
      </w:tr>
      <w:tr w:rsidR="0044304A" w:rsidRPr="004B5784" w:rsidTr="00870547">
        <w:trPr>
          <w:trHeight w:val="510"/>
          <w:jc w:val="center"/>
        </w:trPr>
        <w:tc>
          <w:tcPr>
            <w:tcW w:w="3246" w:type="dxa"/>
            <w:shd w:val="clear" w:color="auto" w:fill="EAEAEA"/>
            <w:vAlign w:val="center"/>
          </w:tcPr>
          <w:p w:rsidR="0044304A" w:rsidRPr="0044304A" w:rsidRDefault="0044304A" w:rsidP="00FA1525">
            <w:pPr>
              <w:rPr>
                <w:rFonts w:cs="Open Sans"/>
                <w:sz w:val="16"/>
                <w:szCs w:val="16"/>
              </w:rPr>
            </w:pPr>
            <w:r w:rsidRPr="0044304A">
              <w:rPr>
                <w:rFonts w:cs="Open Sans"/>
                <w:sz w:val="16"/>
                <w:szCs w:val="16"/>
              </w:rPr>
              <w:t>Übrige</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833</w:t>
            </w:r>
          </w:p>
        </w:tc>
        <w:tc>
          <w:tcPr>
            <w:tcW w:w="1276" w:type="dxa"/>
            <w:shd w:val="clear" w:color="auto" w:fill="EAEAEA"/>
            <w:vAlign w:val="center"/>
          </w:tcPr>
          <w:p w:rsidR="0044304A" w:rsidRPr="0044304A" w:rsidRDefault="0044304A" w:rsidP="00FA1525">
            <w:pPr>
              <w:jc w:val="center"/>
              <w:rPr>
                <w:rFonts w:cs="Open Sans"/>
                <w:sz w:val="16"/>
                <w:szCs w:val="16"/>
              </w:rPr>
            </w:pPr>
            <w:r w:rsidRPr="0044304A">
              <w:rPr>
                <w:rFonts w:cs="Open Sans"/>
                <w:sz w:val="16"/>
                <w:szCs w:val="16"/>
              </w:rPr>
              <w:t>693</w:t>
            </w:r>
          </w:p>
        </w:tc>
        <w:tc>
          <w:tcPr>
            <w:tcW w:w="1276"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+140</w:t>
            </w:r>
          </w:p>
        </w:tc>
        <w:tc>
          <w:tcPr>
            <w:tcW w:w="1275" w:type="dxa"/>
            <w:shd w:val="clear" w:color="auto" w:fill="EAEAEA"/>
            <w:vAlign w:val="center"/>
          </w:tcPr>
          <w:p w:rsidR="0044304A" w:rsidRPr="0044304A" w:rsidRDefault="0044304A" w:rsidP="00FA1525">
            <w:pPr>
              <w:jc w:val="center"/>
              <w:rPr>
                <w:rFonts w:cs="Open Sans"/>
                <w:color w:val="FF0000"/>
                <w:sz w:val="16"/>
                <w:szCs w:val="16"/>
              </w:rPr>
            </w:pPr>
            <w:r w:rsidRPr="0044304A">
              <w:rPr>
                <w:rFonts w:cs="Open Sans"/>
                <w:color w:val="FF0000"/>
                <w:sz w:val="16"/>
                <w:szCs w:val="16"/>
              </w:rPr>
              <w:t>+20,2</w:t>
            </w:r>
          </w:p>
        </w:tc>
        <w:tc>
          <w:tcPr>
            <w:tcW w:w="993" w:type="dxa"/>
            <w:shd w:val="clear" w:color="auto" w:fill="EAEAEA"/>
            <w:vAlign w:val="center"/>
          </w:tcPr>
          <w:p w:rsidR="0044304A" w:rsidRPr="0044304A" w:rsidRDefault="0044304A" w:rsidP="00FA1525">
            <w:pPr>
              <w:jc w:val="center"/>
              <w:rPr>
                <w:rFonts w:cs="Open Sans"/>
                <w:sz w:val="16"/>
                <w:szCs w:val="16"/>
              </w:rPr>
            </w:pPr>
            <w:proofErr w:type="spellStart"/>
            <w:r w:rsidRPr="0044304A">
              <w:rPr>
                <w:rFonts w:cs="Open Sans"/>
                <w:sz w:val="16"/>
                <w:szCs w:val="16"/>
              </w:rPr>
              <w:t>k.A</w:t>
            </w:r>
            <w:proofErr w:type="spellEnd"/>
            <w:r w:rsidRPr="0044304A">
              <w:rPr>
                <w:rFonts w:cs="Open Sans"/>
                <w:sz w:val="16"/>
                <w:szCs w:val="16"/>
              </w:rPr>
              <w:t>.</w:t>
            </w:r>
          </w:p>
        </w:tc>
      </w:tr>
      <w:tr w:rsidR="0044304A" w:rsidRPr="004B5784" w:rsidTr="00870547">
        <w:trPr>
          <w:trHeight w:val="510"/>
          <w:jc w:val="center"/>
        </w:trPr>
        <w:tc>
          <w:tcPr>
            <w:tcW w:w="3246" w:type="dxa"/>
            <w:vAlign w:val="center"/>
          </w:tcPr>
          <w:p w:rsidR="0044304A" w:rsidRPr="0044304A" w:rsidRDefault="0044304A" w:rsidP="00FA1525">
            <w:pPr>
              <w:rPr>
                <w:rFonts w:cs="Open Sans"/>
                <w:b/>
                <w:bCs/>
                <w:sz w:val="16"/>
                <w:szCs w:val="16"/>
              </w:rPr>
            </w:pPr>
            <w:r w:rsidRPr="0044304A">
              <w:rPr>
                <w:rFonts w:cs="Open Sans"/>
                <w:b/>
                <w:bCs/>
                <w:sz w:val="16"/>
                <w:szCs w:val="16"/>
              </w:rPr>
              <w:t>Gesamt</w:t>
            </w:r>
          </w:p>
        </w:tc>
        <w:tc>
          <w:tcPr>
            <w:tcW w:w="1276" w:type="dxa"/>
            <w:vAlign w:val="center"/>
          </w:tcPr>
          <w:p w:rsidR="0044304A" w:rsidRPr="0044304A" w:rsidRDefault="0044304A" w:rsidP="00FA1525">
            <w:pPr>
              <w:jc w:val="center"/>
              <w:rPr>
                <w:rFonts w:cs="Open Sans"/>
                <w:b/>
                <w:bCs/>
                <w:sz w:val="16"/>
                <w:szCs w:val="16"/>
              </w:rPr>
            </w:pPr>
            <w:r w:rsidRPr="0044304A">
              <w:rPr>
                <w:rFonts w:cs="Open Sans"/>
                <w:b/>
                <w:bCs/>
                <w:sz w:val="16"/>
                <w:szCs w:val="16"/>
              </w:rPr>
              <w:t>4.016</w:t>
            </w:r>
          </w:p>
        </w:tc>
        <w:tc>
          <w:tcPr>
            <w:tcW w:w="1276" w:type="dxa"/>
            <w:vAlign w:val="center"/>
          </w:tcPr>
          <w:p w:rsidR="0044304A" w:rsidRPr="0044304A" w:rsidRDefault="0044304A" w:rsidP="00FA1525">
            <w:pPr>
              <w:jc w:val="center"/>
              <w:rPr>
                <w:rFonts w:cs="Open Sans"/>
                <w:b/>
                <w:bCs/>
                <w:sz w:val="16"/>
                <w:szCs w:val="16"/>
              </w:rPr>
            </w:pPr>
            <w:r w:rsidRPr="0044304A">
              <w:rPr>
                <w:rFonts w:cs="Open Sans"/>
                <w:b/>
                <w:bCs/>
                <w:sz w:val="16"/>
                <w:szCs w:val="16"/>
              </w:rPr>
              <w:t>3.632</w:t>
            </w:r>
          </w:p>
        </w:tc>
        <w:tc>
          <w:tcPr>
            <w:tcW w:w="1276" w:type="dxa"/>
            <w:vAlign w:val="center"/>
          </w:tcPr>
          <w:p w:rsidR="0044304A" w:rsidRPr="0044304A" w:rsidRDefault="0044304A" w:rsidP="00FA1525">
            <w:pPr>
              <w:jc w:val="center"/>
              <w:rPr>
                <w:rFonts w:cs="Open Sans"/>
                <w:b/>
                <w:bCs/>
                <w:color w:val="FF0000"/>
                <w:sz w:val="16"/>
                <w:szCs w:val="16"/>
              </w:rPr>
            </w:pPr>
            <w:r w:rsidRPr="0044304A">
              <w:rPr>
                <w:rFonts w:cs="Open Sans"/>
                <w:b/>
                <w:bCs/>
                <w:color w:val="FF0000"/>
                <w:sz w:val="16"/>
                <w:szCs w:val="16"/>
              </w:rPr>
              <w:t>+384</w:t>
            </w:r>
          </w:p>
        </w:tc>
        <w:tc>
          <w:tcPr>
            <w:tcW w:w="1275" w:type="dxa"/>
            <w:vAlign w:val="center"/>
          </w:tcPr>
          <w:p w:rsidR="0044304A" w:rsidRPr="0044304A" w:rsidRDefault="0044304A" w:rsidP="00FA1525">
            <w:pPr>
              <w:jc w:val="center"/>
              <w:rPr>
                <w:rFonts w:cs="Open Sans"/>
                <w:b/>
                <w:bCs/>
                <w:color w:val="FF0000"/>
                <w:sz w:val="16"/>
                <w:szCs w:val="16"/>
              </w:rPr>
            </w:pPr>
            <w:r w:rsidRPr="0044304A">
              <w:rPr>
                <w:rFonts w:cs="Open Sans"/>
                <w:b/>
                <w:bCs/>
                <w:color w:val="FF0000"/>
                <w:sz w:val="16"/>
                <w:szCs w:val="16"/>
              </w:rPr>
              <w:t>+10,6</w:t>
            </w:r>
          </w:p>
        </w:tc>
        <w:tc>
          <w:tcPr>
            <w:tcW w:w="993" w:type="dxa"/>
            <w:vAlign w:val="center"/>
          </w:tcPr>
          <w:p w:rsidR="0044304A" w:rsidRPr="0044304A" w:rsidRDefault="0044304A" w:rsidP="00FA1525">
            <w:pPr>
              <w:jc w:val="center"/>
              <w:rPr>
                <w:rFonts w:cs="Open Sans"/>
                <w:b/>
                <w:bCs/>
                <w:sz w:val="16"/>
                <w:szCs w:val="16"/>
              </w:rPr>
            </w:pPr>
            <w:r w:rsidRPr="0044304A">
              <w:rPr>
                <w:rFonts w:cs="Open Sans"/>
                <w:b/>
                <w:bCs/>
                <w:sz w:val="16"/>
                <w:szCs w:val="16"/>
              </w:rPr>
              <w:t>10,9</w:t>
            </w:r>
          </w:p>
        </w:tc>
      </w:tr>
    </w:tbl>
    <w:p w:rsidR="0044304A" w:rsidRPr="0044304A" w:rsidRDefault="0044304A" w:rsidP="0044304A">
      <w:pPr>
        <w:rPr>
          <w:sz w:val="22"/>
          <w:szCs w:val="22"/>
        </w:rPr>
      </w:pPr>
    </w:p>
    <w:p w:rsidR="0044304A" w:rsidRPr="0044304A" w:rsidRDefault="0044304A" w:rsidP="0044304A">
      <w:pPr>
        <w:rPr>
          <w:b/>
          <w:sz w:val="22"/>
          <w:szCs w:val="22"/>
        </w:rPr>
      </w:pPr>
      <w:r w:rsidRPr="0044304A">
        <w:rPr>
          <w:b/>
          <w:sz w:val="22"/>
          <w:szCs w:val="22"/>
        </w:rPr>
        <w:t xml:space="preserve">Conclusio und Ausblick 2023/2024: Toxische Mischung führt zum Anstieg </w:t>
      </w:r>
    </w:p>
    <w:p w:rsidR="00870547" w:rsidRDefault="0044304A" w:rsidP="0044304A">
      <w:pPr>
        <w:rPr>
          <w:sz w:val="22"/>
          <w:szCs w:val="22"/>
        </w:rPr>
      </w:pPr>
      <w:r w:rsidRPr="0044304A">
        <w:rPr>
          <w:sz w:val="22"/>
          <w:szCs w:val="22"/>
        </w:rPr>
        <w:t xml:space="preserve">Österreich befindet sich in einer Rezession. Die Teuerung und ihre Folgen sind erst in den vergangenen Monaten auch bei den Unternehmen </w:t>
      </w:r>
      <w:r w:rsidR="00870547" w:rsidRPr="0044304A">
        <w:rPr>
          <w:sz w:val="22"/>
          <w:szCs w:val="22"/>
        </w:rPr>
        <w:t xml:space="preserve">spürbar </w:t>
      </w:r>
      <w:r w:rsidRPr="0044304A">
        <w:rPr>
          <w:sz w:val="22"/>
          <w:szCs w:val="22"/>
        </w:rPr>
        <w:t xml:space="preserve">angekommen. Gestiegene Energiekosten, hohe Kosten für Vorprodukte und Materialien, ein stotternder Wirtschaftsmotor in Deutschland und steigende Zinsen sowie eine schwache Nachfrage – diese toxische Mischung führt zu zahlreichen Insolvenzen quer über alle Branchen. Dazu kommen weitere Belastungen in Form von CO²-Abgaben, </w:t>
      </w:r>
      <w:bookmarkStart w:id="1" w:name="_GoBack"/>
      <w:bookmarkEnd w:id="1"/>
      <w:r w:rsidRPr="0044304A">
        <w:rPr>
          <w:sz w:val="22"/>
          <w:szCs w:val="22"/>
        </w:rPr>
        <w:t xml:space="preserve">Restriktionen bei der Kreditvergabe, schwieriger/teurer werdende Refinanzierungen und Konsumenten, die zunehmend sparen (müssen). </w:t>
      </w:r>
    </w:p>
    <w:p w:rsidR="0044304A" w:rsidRPr="0044304A" w:rsidRDefault="0044304A" w:rsidP="0044304A">
      <w:pPr>
        <w:rPr>
          <w:sz w:val="22"/>
          <w:szCs w:val="22"/>
        </w:rPr>
      </w:pPr>
      <w:r w:rsidRPr="0044304A">
        <w:rPr>
          <w:sz w:val="22"/>
          <w:szCs w:val="22"/>
        </w:rPr>
        <w:t>Für das Gesamtjahr 2023 rechnet Weinhofer daher weiterhin mit rund 5.500 Firmeninsolvenzen, ein Wert so niedrig wie zuletzt 2019 bzw. 2002. Daher gibt es (noch) keinen Grund Alarm zu schlagen – wenn auch der Trend sich im kommenden Jahr fortsetzen wird. 2024 wird dann die Marke von 6.000 Insolvenzen erreicht werden.</w:t>
      </w:r>
    </w:p>
    <w:p w:rsidR="00C0376C" w:rsidRDefault="00C0376C" w:rsidP="00C0376C">
      <w:pPr>
        <w:rPr>
          <w:rFonts w:ascii="Courier New" w:hAnsi="Courier New" w:cs="Courier New"/>
          <w:sz w:val="22"/>
          <w:szCs w:val="22"/>
        </w:rPr>
      </w:pPr>
    </w:p>
    <w:p w:rsidR="003504CD" w:rsidRPr="0028285C" w:rsidRDefault="003504CD" w:rsidP="009531F1">
      <w:pPr>
        <w:rPr>
          <w:sz w:val="22"/>
          <w:szCs w:val="22"/>
        </w:rPr>
      </w:pPr>
      <w:r w:rsidRPr="0028285C">
        <w:rPr>
          <w:sz w:val="22"/>
          <w:szCs w:val="22"/>
        </w:rPr>
        <w:t>Für den Inhalt verantwortlich, Rückfragehinweis und Insolvenzstatistik:</w:t>
      </w:r>
    </w:p>
    <w:p w:rsidR="003504CD" w:rsidRPr="0028285C" w:rsidRDefault="003504CD" w:rsidP="00DE31E2">
      <w:pPr>
        <w:rPr>
          <w:sz w:val="22"/>
          <w:szCs w:val="22"/>
        </w:rPr>
      </w:pPr>
      <w:r w:rsidRPr="0028285C">
        <w:rPr>
          <w:sz w:val="22"/>
          <w:szCs w:val="22"/>
        </w:rPr>
        <w:t>Mag. Gerhard M. Weinhofer, Geschäftsführer</w:t>
      </w:r>
    </w:p>
    <w:p w:rsidR="003504CD" w:rsidRPr="0028285C" w:rsidRDefault="003504CD" w:rsidP="00DE31E2">
      <w:pPr>
        <w:rPr>
          <w:sz w:val="22"/>
          <w:szCs w:val="22"/>
        </w:rPr>
      </w:pPr>
      <w:r w:rsidRPr="0028285C">
        <w:rPr>
          <w:sz w:val="22"/>
          <w:szCs w:val="22"/>
        </w:rPr>
        <w:t>Österreichischer Verband Creditreform</w:t>
      </w:r>
    </w:p>
    <w:p w:rsidR="00C0376C" w:rsidRDefault="003504CD" w:rsidP="00DE31E2">
      <w:pPr>
        <w:rPr>
          <w:sz w:val="22"/>
          <w:szCs w:val="22"/>
        </w:rPr>
      </w:pPr>
      <w:r w:rsidRPr="0028285C">
        <w:rPr>
          <w:sz w:val="22"/>
          <w:szCs w:val="22"/>
        </w:rPr>
        <w:t>Tel.: +43-1-218 62 20-551</w:t>
      </w:r>
    </w:p>
    <w:p w:rsidR="003504CD" w:rsidRPr="0028285C" w:rsidRDefault="00870547" w:rsidP="00DE31E2">
      <w:pPr>
        <w:rPr>
          <w:rStyle w:val="Hyperlink"/>
          <w:sz w:val="22"/>
          <w:szCs w:val="22"/>
        </w:rPr>
      </w:pPr>
      <w:hyperlink r:id="rId8" w:tooltip="mailto:g.weinhofer@wien.creditreform.at" w:history="1">
        <w:r w:rsidR="003504CD" w:rsidRPr="0028285C">
          <w:rPr>
            <w:rStyle w:val="Hyperlink"/>
            <w:sz w:val="22"/>
            <w:szCs w:val="22"/>
          </w:rPr>
          <w:t>g.weinhofer@wien.creditreform.at</w:t>
        </w:r>
      </w:hyperlink>
    </w:p>
    <w:sectPr w:rsidR="003504CD" w:rsidRPr="0028285C" w:rsidSect="00D805B6">
      <w:headerReference w:type="default" r:id="rId9"/>
      <w:footerReference w:type="even" r:id="rId10"/>
      <w:footerReference w:type="default" r:id="rId11"/>
      <w:footerReference w:type="first" r:id="rId12"/>
      <w:pgSz w:w="11907" w:h="16840" w:code="9"/>
      <w:pgMar w:top="1985" w:right="1247" w:bottom="426" w:left="1247"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7F" w:rsidRDefault="00D17B7F">
      <w:r>
        <w:separator/>
      </w:r>
    </w:p>
  </w:endnote>
  <w:endnote w:type="continuationSeparator" w:id="0">
    <w:p w:rsidR="00D17B7F" w:rsidRDefault="00D1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AE" w:rsidRDefault="00D700AE" w:rsidP="00D356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700AE" w:rsidRDefault="00D70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473234"/>
      <w:docPartObj>
        <w:docPartGallery w:val="Page Numbers (Bottom of Page)"/>
        <w:docPartUnique/>
      </w:docPartObj>
    </w:sdtPr>
    <w:sdtEndPr/>
    <w:sdtContent>
      <w:p w:rsidR="00855E0C" w:rsidRDefault="00855E0C">
        <w:pPr>
          <w:pStyle w:val="Fuzeile"/>
          <w:jc w:val="center"/>
        </w:pPr>
        <w:r>
          <w:fldChar w:fldCharType="begin"/>
        </w:r>
        <w:r>
          <w:instrText>PAGE   \* MERGEFORMAT</w:instrText>
        </w:r>
        <w:r>
          <w:fldChar w:fldCharType="separate"/>
        </w:r>
        <w:r w:rsidR="00870547">
          <w:rPr>
            <w:noProof/>
          </w:rPr>
          <w:t>3</w:t>
        </w:r>
        <w:r>
          <w:fldChar w:fldCharType="end"/>
        </w:r>
      </w:p>
    </w:sdtContent>
  </w:sdt>
  <w:p w:rsidR="00D700AE" w:rsidRDefault="00D700AE">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AE" w:rsidRDefault="00D700AE">
    <w:pPr>
      <w:pStyle w:val="Fuzeile"/>
      <w:tabs>
        <w:tab w:val="left" w:pos="6096"/>
      </w:tabs>
      <w:rPr>
        <w:rFonts w:ascii="Gill Sans MT" w:hAnsi="Gill Sans MT"/>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7F" w:rsidRDefault="00D17B7F">
      <w:r>
        <w:separator/>
      </w:r>
    </w:p>
  </w:footnote>
  <w:footnote w:type="continuationSeparator" w:id="0">
    <w:p w:rsidR="00D17B7F" w:rsidRDefault="00D1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5" w:rsidRDefault="00917255" w:rsidP="00807D5E">
    <w:pPr>
      <w:pStyle w:val="Kopfzeile"/>
      <w:ind w:right="-85"/>
      <w:jc w:val="right"/>
    </w:pPr>
    <w:r>
      <w:rPr>
        <w:rFonts w:ascii="Gill Sans MT" w:hAnsi="Gill Sans MT"/>
        <w:noProof/>
      </w:rPr>
      <w:drawing>
        <wp:inline distT="0" distB="0" distL="0" distR="0" wp14:anchorId="234E5837" wp14:editId="0F9AF4EC">
          <wp:extent cx="2467610" cy="665480"/>
          <wp:effectExtent l="0" t="0" r="8890" b="127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fo-Logo_blue_kle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67610" cy="665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57684"/>
    <w:multiLevelType w:val="hybridMultilevel"/>
    <w:tmpl w:val="C71857FC"/>
    <w:lvl w:ilvl="0" w:tplc="CBD2C4F6">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09"/>
    <w:rsid w:val="0000499F"/>
    <w:rsid w:val="0002375B"/>
    <w:rsid w:val="0004645B"/>
    <w:rsid w:val="0005460E"/>
    <w:rsid w:val="00057B24"/>
    <w:rsid w:val="00062015"/>
    <w:rsid w:val="00093C67"/>
    <w:rsid w:val="000A2E10"/>
    <w:rsid w:val="000A344B"/>
    <w:rsid w:val="000C2804"/>
    <w:rsid w:val="000D6B8C"/>
    <w:rsid w:val="000E1829"/>
    <w:rsid w:val="001200DA"/>
    <w:rsid w:val="0013076B"/>
    <w:rsid w:val="00134EC8"/>
    <w:rsid w:val="00154B81"/>
    <w:rsid w:val="00156209"/>
    <w:rsid w:val="0016300E"/>
    <w:rsid w:val="00173F83"/>
    <w:rsid w:val="00185DF8"/>
    <w:rsid w:val="00186FA9"/>
    <w:rsid w:val="001963A0"/>
    <w:rsid w:val="001A2646"/>
    <w:rsid w:val="001A709A"/>
    <w:rsid w:val="001B4604"/>
    <w:rsid w:val="001D7D97"/>
    <w:rsid w:val="002000DE"/>
    <w:rsid w:val="00227B32"/>
    <w:rsid w:val="00263C75"/>
    <w:rsid w:val="00266223"/>
    <w:rsid w:val="00274367"/>
    <w:rsid w:val="00281B5D"/>
    <w:rsid w:val="0028202E"/>
    <w:rsid w:val="0028285C"/>
    <w:rsid w:val="002A2C75"/>
    <w:rsid w:val="002B20ED"/>
    <w:rsid w:val="002C145C"/>
    <w:rsid w:val="002D5B09"/>
    <w:rsid w:val="002D7128"/>
    <w:rsid w:val="002F66AE"/>
    <w:rsid w:val="0031244F"/>
    <w:rsid w:val="00314C15"/>
    <w:rsid w:val="00316DF3"/>
    <w:rsid w:val="0031761D"/>
    <w:rsid w:val="00332A26"/>
    <w:rsid w:val="003504CD"/>
    <w:rsid w:val="003649C5"/>
    <w:rsid w:val="0037108F"/>
    <w:rsid w:val="00380063"/>
    <w:rsid w:val="00394C20"/>
    <w:rsid w:val="003B5557"/>
    <w:rsid w:val="00413D9F"/>
    <w:rsid w:val="00420486"/>
    <w:rsid w:val="00421BAE"/>
    <w:rsid w:val="0044304A"/>
    <w:rsid w:val="004535DD"/>
    <w:rsid w:val="00464173"/>
    <w:rsid w:val="004708C3"/>
    <w:rsid w:val="00482439"/>
    <w:rsid w:val="00487115"/>
    <w:rsid w:val="004919C1"/>
    <w:rsid w:val="004A5A8D"/>
    <w:rsid w:val="004B3E51"/>
    <w:rsid w:val="004C12D7"/>
    <w:rsid w:val="004C2411"/>
    <w:rsid w:val="004D104D"/>
    <w:rsid w:val="004F7D7D"/>
    <w:rsid w:val="0052619D"/>
    <w:rsid w:val="00537EA5"/>
    <w:rsid w:val="00540898"/>
    <w:rsid w:val="005601FB"/>
    <w:rsid w:val="0058017E"/>
    <w:rsid w:val="00594B05"/>
    <w:rsid w:val="005F6785"/>
    <w:rsid w:val="0060380D"/>
    <w:rsid w:val="00605817"/>
    <w:rsid w:val="00613EB6"/>
    <w:rsid w:val="006612D4"/>
    <w:rsid w:val="00662019"/>
    <w:rsid w:val="006768BD"/>
    <w:rsid w:val="006814BA"/>
    <w:rsid w:val="0069130C"/>
    <w:rsid w:val="006A1EA5"/>
    <w:rsid w:val="006A4F3A"/>
    <w:rsid w:val="006B0DFA"/>
    <w:rsid w:val="006B0ED3"/>
    <w:rsid w:val="006B1A8A"/>
    <w:rsid w:val="006B714C"/>
    <w:rsid w:val="006B7638"/>
    <w:rsid w:val="006C08F4"/>
    <w:rsid w:val="006C7031"/>
    <w:rsid w:val="006D0341"/>
    <w:rsid w:val="006D0D1C"/>
    <w:rsid w:val="006D636D"/>
    <w:rsid w:val="006E095C"/>
    <w:rsid w:val="006F354D"/>
    <w:rsid w:val="00705F63"/>
    <w:rsid w:val="00706346"/>
    <w:rsid w:val="0073200A"/>
    <w:rsid w:val="007475F8"/>
    <w:rsid w:val="0076147E"/>
    <w:rsid w:val="00767FA7"/>
    <w:rsid w:val="00780257"/>
    <w:rsid w:val="007B49F5"/>
    <w:rsid w:val="007D6805"/>
    <w:rsid w:val="007F5F95"/>
    <w:rsid w:val="00805593"/>
    <w:rsid w:val="00807979"/>
    <w:rsid w:val="00807D5E"/>
    <w:rsid w:val="00824026"/>
    <w:rsid w:val="00843738"/>
    <w:rsid w:val="0085421D"/>
    <w:rsid w:val="00855E0C"/>
    <w:rsid w:val="00860965"/>
    <w:rsid w:val="00861517"/>
    <w:rsid w:val="00870547"/>
    <w:rsid w:val="008721BC"/>
    <w:rsid w:val="0088598C"/>
    <w:rsid w:val="008A0475"/>
    <w:rsid w:val="008B2A91"/>
    <w:rsid w:val="008C0634"/>
    <w:rsid w:val="008D15AF"/>
    <w:rsid w:val="008F4307"/>
    <w:rsid w:val="00916599"/>
    <w:rsid w:val="00917255"/>
    <w:rsid w:val="009531F1"/>
    <w:rsid w:val="00963FD3"/>
    <w:rsid w:val="00965ABA"/>
    <w:rsid w:val="00977A51"/>
    <w:rsid w:val="00993E3F"/>
    <w:rsid w:val="009A41AA"/>
    <w:rsid w:val="009C69E9"/>
    <w:rsid w:val="009C6C4E"/>
    <w:rsid w:val="009C7A5B"/>
    <w:rsid w:val="009D6D6B"/>
    <w:rsid w:val="009E1D12"/>
    <w:rsid w:val="00A335EB"/>
    <w:rsid w:val="00A6190D"/>
    <w:rsid w:val="00A70E8B"/>
    <w:rsid w:val="00A87C8D"/>
    <w:rsid w:val="00AC0FD5"/>
    <w:rsid w:val="00AE7D26"/>
    <w:rsid w:val="00AF7134"/>
    <w:rsid w:val="00B07038"/>
    <w:rsid w:val="00B1127F"/>
    <w:rsid w:val="00B164F9"/>
    <w:rsid w:val="00B22DD6"/>
    <w:rsid w:val="00B240A2"/>
    <w:rsid w:val="00B378DD"/>
    <w:rsid w:val="00B42AEB"/>
    <w:rsid w:val="00B5255A"/>
    <w:rsid w:val="00B55A64"/>
    <w:rsid w:val="00B769F1"/>
    <w:rsid w:val="00B85604"/>
    <w:rsid w:val="00B94644"/>
    <w:rsid w:val="00BA77FF"/>
    <w:rsid w:val="00BB5CE8"/>
    <w:rsid w:val="00BF2BFF"/>
    <w:rsid w:val="00C0376C"/>
    <w:rsid w:val="00C043C5"/>
    <w:rsid w:val="00C05BFB"/>
    <w:rsid w:val="00C24B42"/>
    <w:rsid w:val="00C25756"/>
    <w:rsid w:val="00C419BC"/>
    <w:rsid w:val="00C65E1C"/>
    <w:rsid w:val="00C87B5E"/>
    <w:rsid w:val="00C920AB"/>
    <w:rsid w:val="00C9553A"/>
    <w:rsid w:val="00CA55B2"/>
    <w:rsid w:val="00CB6BF7"/>
    <w:rsid w:val="00CB7977"/>
    <w:rsid w:val="00CC14AE"/>
    <w:rsid w:val="00CD6AB0"/>
    <w:rsid w:val="00CE1E6B"/>
    <w:rsid w:val="00CF302F"/>
    <w:rsid w:val="00D17B7F"/>
    <w:rsid w:val="00D202D4"/>
    <w:rsid w:val="00D26731"/>
    <w:rsid w:val="00D3560C"/>
    <w:rsid w:val="00D64C0E"/>
    <w:rsid w:val="00D700AE"/>
    <w:rsid w:val="00D805B6"/>
    <w:rsid w:val="00D81E70"/>
    <w:rsid w:val="00DB3AD6"/>
    <w:rsid w:val="00DD2225"/>
    <w:rsid w:val="00DE31E2"/>
    <w:rsid w:val="00E1006B"/>
    <w:rsid w:val="00E31C78"/>
    <w:rsid w:val="00E41669"/>
    <w:rsid w:val="00E50C16"/>
    <w:rsid w:val="00E6349F"/>
    <w:rsid w:val="00E66737"/>
    <w:rsid w:val="00E70FDA"/>
    <w:rsid w:val="00E74FF3"/>
    <w:rsid w:val="00EE6460"/>
    <w:rsid w:val="00EE6F9F"/>
    <w:rsid w:val="00EF7BE1"/>
    <w:rsid w:val="00F03DE2"/>
    <w:rsid w:val="00F1082A"/>
    <w:rsid w:val="00F17661"/>
    <w:rsid w:val="00F303F6"/>
    <w:rsid w:val="00F368FE"/>
    <w:rsid w:val="00F40E43"/>
    <w:rsid w:val="00F426BE"/>
    <w:rsid w:val="00F5351B"/>
    <w:rsid w:val="00F55E2D"/>
    <w:rsid w:val="00F62763"/>
    <w:rsid w:val="00F7459A"/>
    <w:rsid w:val="00F81047"/>
    <w:rsid w:val="00F9050A"/>
    <w:rsid w:val="00F91792"/>
    <w:rsid w:val="00FA3D0D"/>
    <w:rsid w:val="00FB1DEB"/>
    <w:rsid w:val="00FC2380"/>
    <w:rsid w:val="00FE52A3"/>
    <w:rsid w:val="00FF0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38E17B"/>
  <w15:docId w15:val="{22C94FDE-F813-4405-8E8F-D6C5639B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04A"/>
    <w:pPr>
      <w:jc w:val="both"/>
    </w:pPr>
    <w:rPr>
      <w:rFonts w:ascii="Open Sans" w:hAnsi="Open Sans"/>
    </w:rPr>
  </w:style>
  <w:style w:type="paragraph" w:styleId="berschrift1">
    <w:name w:val="heading 1"/>
    <w:basedOn w:val="Standard"/>
    <w:next w:val="Standard"/>
    <w:link w:val="berschrift1Zchn"/>
    <w:qFormat/>
    <w:rsid w:val="00807D5E"/>
    <w:pPr>
      <w:keepNext/>
      <w:keepLines/>
      <w:spacing w:after="6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Datum">
    <w:name w:val="Date"/>
    <w:basedOn w:val="Textkrper"/>
    <w:next w:val="Standard"/>
    <w:pPr>
      <w:spacing w:after="440" w:line="220" w:lineRule="atLeast"/>
      <w:ind w:left="4321"/>
      <w:jc w:val="right"/>
    </w:pPr>
    <w:rPr>
      <w:rFonts w:ascii="Arial" w:hAnsi="Arial"/>
      <w:spacing w:val="-5"/>
    </w:rPr>
  </w:style>
  <w:style w:type="paragraph" w:styleId="Textkrper">
    <w:name w:val="Body Text"/>
    <w:basedOn w:val="Standard"/>
    <w:pPr>
      <w:spacing w:after="120"/>
    </w:pPr>
  </w:style>
  <w:style w:type="paragraph" w:styleId="Anrede">
    <w:name w:val="Salutation"/>
    <w:basedOn w:val="Textkrper"/>
    <w:next w:val="Standard"/>
    <w:pPr>
      <w:spacing w:before="220" w:after="220" w:line="220" w:lineRule="atLeast"/>
    </w:pPr>
    <w:rPr>
      <w:rFonts w:ascii="Arial" w:hAnsi="Arial"/>
      <w:spacing w:val="-5"/>
    </w:rPr>
  </w:style>
  <w:style w:type="paragraph" w:styleId="Textkrper2">
    <w:name w:val="Body Text 2"/>
    <w:basedOn w:val="Standard"/>
    <w:pPr>
      <w:framePr w:w="4423" w:hSpace="142" w:wrap="around" w:vAnchor="page" w:hAnchor="page" w:x="7343" w:y="721" w:anchorLock="1"/>
      <w:spacing w:after="120"/>
    </w:pPr>
    <w:rPr>
      <w:rFonts w:ascii="Gill Sans MT" w:hAnsi="Gill Sans MT"/>
      <w:b/>
    </w:rPr>
  </w:style>
  <w:style w:type="paragraph" w:styleId="Sprechblasentext">
    <w:name w:val="Balloon Text"/>
    <w:basedOn w:val="Standard"/>
    <w:semiHidden/>
    <w:rsid w:val="00156209"/>
    <w:rPr>
      <w:rFonts w:ascii="Tahoma" w:hAnsi="Tahoma" w:cs="Tahoma"/>
      <w:sz w:val="16"/>
      <w:szCs w:val="16"/>
    </w:rPr>
  </w:style>
  <w:style w:type="paragraph" w:styleId="Textkrper3">
    <w:name w:val="Body Text 3"/>
    <w:basedOn w:val="Standard"/>
    <w:rsid w:val="00B769F1"/>
    <w:pPr>
      <w:spacing w:after="120"/>
    </w:pPr>
    <w:rPr>
      <w:sz w:val="16"/>
      <w:szCs w:val="16"/>
    </w:rPr>
  </w:style>
  <w:style w:type="character" w:styleId="Hyperlink">
    <w:name w:val="Hyperlink"/>
    <w:rsid w:val="009C69E9"/>
    <w:rPr>
      <w:rFonts w:ascii="Open Sans" w:hAnsi="Open Sans"/>
      <w:color w:val="009EE2"/>
      <w:sz w:val="20"/>
      <w:u w:val="single"/>
    </w:rPr>
  </w:style>
  <w:style w:type="character" w:customStyle="1" w:styleId="berschrift1Zchn">
    <w:name w:val="Überschrift 1 Zchn"/>
    <w:link w:val="berschrift1"/>
    <w:rsid w:val="00807D5E"/>
    <w:rPr>
      <w:rFonts w:ascii="Open Sans" w:hAnsi="Open Sans"/>
      <w:b/>
    </w:rPr>
  </w:style>
  <w:style w:type="table" w:styleId="Tabellenraster">
    <w:name w:val="Table Grid"/>
    <w:basedOn w:val="NormaleTabelle"/>
    <w:rsid w:val="0091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07D5E"/>
    <w:pPr>
      <w:spacing w:before="120" w:after="300"/>
      <w:contextualSpacing/>
    </w:pPr>
    <w:rPr>
      <w:rFonts w:eastAsiaTheme="majorEastAsia" w:cstheme="majorBidi"/>
      <w:b/>
      <w:color w:val="009EE2"/>
      <w:spacing w:val="5"/>
      <w:kern w:val="28"/>
      <w:sz w:val="28"/>
      <w:szCs w:val="52"/>
    </w:rPr>
  </w:style>
  <w:style w:type="character" w:customStyle="1" w:styleId="TitelZchn">
    <w:name w:val="Titel Zchn"/>
    <w:basedOn w:val="Absatz-Standardschriftart"/>
    <w:link w:val="Titel"/>
    <w:rsid w:val="00807D5E"/>
    <w:rPr>
      <w:rFonts w:ascii="Open Sans" w:eastAsiaTheme="majorEastAsia" w:hAnsi="Open Sans" w:cstheme="majorBidi"/>
      <w:b/>
      <w:color w:val="009EE2"/>
      <w:spacing w:val="5"/>
      <w:kern w:val="28"/>
      <w:sz w:val="28"/>
      <w:szCs w:val="52"/>
    </w:rPr>
  </w:style>
  <w:style w:type="paragraph" w:styleId="NurText">
    <w:name w:val="Plain Text"/>
    <w:basedOn w:val="Standard"/>
    <w:link w:val="NurTextZchn"/>
    <w:uiPriority w:val="99"/>
    <w:unhideWhenUsed/>
    <w:rsid w:val="000C2804"/>
    <w:pPr>
      <w:jc w:val="left"/>
    </w:pPr>
    <w:rPr>
      <w:rFonts w:ascii="Calibri" w:hAnsi="Calibri"/>
      <w:szCs w:val="21"/>
    </w:rPr>
  </w:style>
  <w:style w:type="character" w:customStyle="1" w:styleId="NurTextZchn">
    <w:name w:val="Nur Text Zchn"/>
    <w:basedOn w:val="Absatz-Standardschriftart"/>
    <w:link w:val="NurText"/>
    <w:uiPriority w:val="99"/>
    <w:rsid w:val="000C2804"/>
    <w:rPr>
      <w:rFonts w:ascii="Calibri" w:hAnsi="Calibri"/>
      <w:szCs w:val="21"/>
    </w:rPr>
  </w:style>
  <w:style w:type="character" w:customStyle="1" w:styleId="FuzeileZchn">
    <w:name w:val="Fußzeile Zchn"/>
    <w:basedOn w:val="Absatz-Standardschriftart"/>
    <w:link w:val="Fuzeile"/>
    <w:uiPriority w:val="99"/>
    <w:rsid w:val="00855E0C"/>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0635">
      <w:bodyDiv w:val="1"/>
      <w:marLeft w:val="0"/>
      <w:marRight w:val="0"/>
      <w:marTop w:val="0"/>
      <w:marBottom w:val="0"/>
      <w:divBdr>
        <w:top w:val="none" w:sz="0" w:space="0" w:color="auto"/>
        <w:left w:val="none" w:sz="0" w:space="0" w:color="auto"/>
        <w:bottom w:val="none" w:sz="0" w:space="0" w:color="auto"/>
        <w:right w:val="none" w:sz="0" w:space="0" w:color="auto"/>
      </w:divBdr>
    </w:div>
    <w:div w:id="319386578">
      <w:bodyDiv w:val="1"/>
      <w:marLeft w:val="0"/>
      <w:marRight w:val="0"/>
      <w:marTop w:val="0"/>
      <w:marBottom w:val="0"/>
      <w:divBdr>
        <w:top w:val="none" w:sz="0" w:space="0" w:color="auto"/>
        <w:left w:val="none" w:sz="0" w:space="0" w:color="auto"/>
        <w:bottom w:val="none" w:sz="0" w:space="0" w:color="auto"/>
        <w:right w:val="none" w:sz="0" w:space="0" w:color="auto"/>
      </w:divBdr>
    </w:div>
    <w:div w:id="816461169">
      <w:bodyDiv w:val="1"/>
      <w:marLeft w:val="0"/>
      <w:marRight w:val="0"/>
      <w:marTop w:val="0"/>
      <w:marBottom w:val="0"/>
      <w:divBdr>
        <w:top w:val="none" w:sz="0" w:space="0" w:color="auto"/>
        <w:left w:val="none" w:sz="0" w:space="0" w:color="auto"/>
        <w:bottom w:val="none" w:sz="0" w:space="0" w:color="auto"/>
        <w:right w:val="none" w:sz="0" w:space="0" w:color="auto"/>
      </w:divBdr>
    </w:div>
    <w:div w:id="1124349270">
      <w:bodyDiv w:val="1"/>
      <w:marLeft w:val="0"/>
      <w:marRight w:val="0"/>
      <w:marTop w:val="0"/>
      <w:marBottom w:val="0"/>
      <w:divBdr>
        <w:top w:val="none" w:sz="0" w:space="0" w:color="auto"/>
        <w:left w:val="none" w:sz="0" w:space="0" w:color="auto"/>
        <w:bottom w:val="none" w:sz="0" w:space="0" w:color="auto"/>
        <w:right w:val="none" w:sz="0" w:space="0" w:color="auto"/>
      </w:divBdr>
    </w:div>
    <w:div w:id="1185754035">
      <w:bodyDiv w:val="1"/>
      <w:marLeft w:val="0"/>
      <w:marRight w:val="0"/>
      <w:marTop w:val="0"/>
      <w:marBottom w:val="0"/>
      <w:divBdr>
        <w:top w:val="none" w:sz="0" w:space="0" w:color="auto"/>
        <w:left w:val="none" w:sz="0" w:space="0" w:color="auto"/>
        <w:bottom w:val="none" w:sz="0" w:space="0" w:color="auto"/>
        <w:right w:val="none" w:sz="0" w:space="0" w:color="auto"/>
      </w:divBdr>
    </w:div>
    <w:div w:id="18183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inhofer@wien.creditreform.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DOC\Briefformular%20mit%20Adresse%20Wien%20allgem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ACC1-8458-48A4-907D-768B4338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Briefformular mit Adresse Wien allgemein.dot</Template>
  <TotalTime>0</TotalTime>
  <Pages>3</Pages>
  <Words>737</Words>
  <Characters>5008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Bitte hier klicken um den Namen einzugeben</vt:lpstr>
    </vt:vector>
  </TitlesOfParts>
  <Company>VVC Neuss</Company>
  <LinksUpToDate>false</LinksUpToDate>
  <CharactersWithSpaces>5734</CharactersWithSpaces>
  <SharedDoc>false</SharedDoc>
  <HLinks>
    <vt:vector size="12" baseType="variant">
      <vt:variant>
        <vt:i4>7864372</vt:i4>
      </vt:variant>
      <vt:variant>
        <vt:i4>3</vt:i4>
      </vt:variant>
      <vt:variant>
        <vt:i4>0</vt:i4>
      </vt:variant>
      <vt:variant>
        <vt:i4>5</vt:i4>
      </vt:variant>
      <vt:variant>
        <vt:lpwstr>http://www.creditreform.at/</vt:lpwstr>
      </vt:variant>
      <vt:variant>
        <vt:lpwstr/>
      </vt:variant>
      <vt:variant>
        <vt:i4>4128773</vt:i4>
      </vt:variant>
      <vt:variant>
        <vt:i4>0</vt:i4>
      </vt:variant>
      <vt:variant>
        <vt:i4>0</vt:i4>
      </vt:variant>
      <vt:variant>
        <vt:i4>5</vt:i4>
      </vt:variant>
      <vt:variant>
        <vt:lpwstr>mailto:g.weinhofer@wien.creditreform.at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klicken um den Namen einzugeben</dc:title>
  <dc:creator>CREFOS</dc:creator>
  <cp:lastModifiedBy>Weinhofer, Gerhard</cp:lastModifiedBy>
  <cp:revision>2</cp:revision>
  <cp:lastPrinted>2022-05-11T07:28:00Z</cp:lastPrinted>
  <dcterms:created xsi:type="dcterms:W3CDTF">2023-11-08T08:19:00Z</dcterms:created>
  <dcterms:modified xsi:type="dcterms:W3CDTF">2023-11-08T08:19:00Z</dcterms:modified>
</cp:coreProperties>
</file>